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86F5B" w14:textId="77777777" w:rsidR="00C57833" w:rsidRDefault="00F33980" w:rsidP="001F1D6A">
      <w:pPr>
        <w:jc w:val="center"/>
        <w:rPr>
          <w:b/>
          <w:bCs/>
        </w:rPr>
      </w:pPr>
      <w:bookmarkStart w:id="0" w:name="_GoBack"/>
      <w:bookmarkEnd w:id="0"/>
      <w:r w:rsidRPr="00F33980">
        <w:rPr>
          <w:b/>
          <w:bCs/>
        </w:rPr>
        <w:t>Hazards of Excessive Pilot Flight Control Forces</w:t>
      </w:r>
    </w:p>
    <w:p w14:paraId="6D84C3E8" w14:textId="77777777" w:rsidR="00C57833" w:rsidRPr="00C57833" w:rsidRDefault="00C57833" w:rsidP="00C57833">
      <w:pPr>
        <w:jc w:val="center"/>
        <w:rPr>
          <w:b/>
          <w:bCs/>
        </w:rPr>
      </w:pPr>
      <w:r w:rsidRPr="00C57833">
        <w:rPr>
          <w:b/>
          <w:bCs/>
        </w:rPr>
        <w:t>Robert</w:t>
      </w:r>
      <w:r w:rsidR="00D623DC">
        <w:rPr>
          <w:b/>
          <w:bCs/>
        </w:rPr>
        <w:t xml:space="preserve"> </w:t>
      </w:r>
      <w:r w:rsidRPr="00C57833">
        <w:rPr>
          <w:b/>
          <w:bCs/>
        </w:rPr>
        <w:t xml:space="preserve">E. </w:t>
      </w:r>
      <w:proofErr w:type="spellStart"/>
      <w:r w:rsidRPr="00C57833">
        <w:rPr>
          <w:b/>
          <w:bCs/>
        </w:rPr>
        <w:t>Joslin</w:t>
      </w:r>
      <w:proofErr w:type="spellEnd"/>
      <w:r w:rsidRPr="00C57833">
        <w:rPr>
          <w:b/>
          <w:bCs/>
        </w:rPr>
        <w:t>, Ph.D.</w:t>
      </w:r>
    </w:p>
    <w:p w14:paraId="195C90EC" w14:textId="77777777" w:rsidR="008B29EC" w:rsidRDefault="008B29EC" w:rsidP="008B29EC">
      <w:pPr>
        <w:jc w:val="center"/>
        <w:rPr>
          <w:b/>
          <w:bCs/>
        </w:rPr>
      </w:pPr>
      <w:r>
        <w:rPr>
          <w:b/>
          <w:bCs/>
        </w:rPr>
        <w:t>ISASI Member MO3889</w:t>
      </w:r>
    </w:p>
    <w:p w14:paraId="0F30681B" w14:textId="77777777" w:rsidR="00A413A2" w:rsidRDefault="00B53AD6" w:rsidP="008B29EC">
      <w:pPr>
        <w:jc w:val="center"/>
        <w:rPr>
          <w:b/>
          <w:bCs/>
        </w:rPr>
      </w:pPr>
      <w:hyperlink r:id="rId8" w:history="1">
        <w:r w:rsidR="00A413A2" w:rsidRPr="002223A2">
          <w:rPr>
            <w:rStyle w:val="Hyperlink"/>
          </w:rPr>
          <w:t>robert.joslin@faa.gov</w:t>
        </w:r>
      </w:hyperlink>
    </w:p>
    <w:p w14:paraId="4F169A64" w14:textId="77777777" w:rsidR="00A413A2" w:rsidRDefault="00A413A2" w:rsidP="008B29EC">
      <w:pPr>
        <w:jc w:val="center"/>
        <w:rPr>
          <w:b/>
          <w:bCs/>
        </w:rPr>
      </w:pPr>
    </w:p>
    <w:p w14:paraId="312DCC37" w14:textId="77777777" w:rsidR="00A413A2" w:rsidRDefault="00A413A2" w:rsidP="008B29EC">
      <w:pPr>
        <w:jc w:val="center"/>
        <w:rPr>
          <w:b/>
          <w:bCs/>
        </w:rPr>
      </w:pPr>
      <w:r>
        <w:rPr>
          <w:b/>
          <w:bCs/>
          <w:noProof/>
        </w:rPr>
        <w:drawing>
          <wp:inline distT="0" distB="0" distL="0" distR="0" wp14:anchorId="223D0128" wp14:editId="19621E5F">
            <wp:extent cx="1036832" cy="826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lin_HeadSh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656" cy="832935"/>
                    </a:xfrm>
                    <a:prstGeom prst="rect">
                      <a:avLst/>
                    </a:prstGeom>
                  </pic:spPr>
                </pic:pic>
              </a:graphicData>
            </a:graphic>
          </wp:inline>
        </w:drawing>
      </w:r>
    </w:p>
    <w:p w14:paraId="4500244F" w14:textId="77777777" w:rsidR="001F1D6A" w:rsidRDefault="001F1D6A" w:rsidP="001F1D6A">
      <w:pPr>
        <w:jc w:val="center"/>
        <w:rPr>
          <w:b/>
          <w:bCs/>
        </w:rPr>
      </w:pPr>
    </w:p>
    <w:p w14:paraId="317DCBBC" w14:textId="77777777" w:rsidR="001B0588" w:rsidRPr="001B0588" w:rsidRDefault="001B0588" w:rsidP="009C3C1C">
      <w:pPr>
        <w:ind w:left="720"/>
        <w:rPr>
          <w:b/>
          <w:bCs/>
          <w:i/>
        </w:rPr>
      </w:pPr>
      <w:r w:rsidRPr="001B0588">
        <w:rPr>
          <w:bCs/>
          <w:i/>
        </w:rPr>
        <w:t xml:space="preserve">Dr. Robert “Buck” </w:t>
      </w:r>
      <w:proofErr w:type="spellStart"/>
      <w:r w:rsidRPr="001B0588">
        <w:rPr>
          <w:bCs/>
          <w:i/>
        </w:rPr>
        <w:t>Joslin</w:t>
      </w:r>
      <w:proofErr w:type="spellEnd"/>
      <w:r w:rsidRPr="001B0588">
        <w:rPr>
          <w:bCs/>
          <w:i/>
        </w:rPr>
        <w:t xml:space="preserve"> is the FAA Chief Scientific and Technical Advisor for Flight Deck Technology and also an Adjunct Assistant Professor with ERAU-Worldwide. He previously served as a Colonel in the U.S. Marine Corps and military test pilot, and remains an active FAA test pilot. He is a Fellow with the Royal Aeronautical Society, Associate Fellow with the Society of Experimental Test Pilots, and Full Member of HFES and ISASI. Dr. </w:t>
      </w:r>
      <w:proofErr w:type="spellStart"/>
      <w:r w:rsidRPr="001B0588">
        <w:rPr>
          <w:bCs/>
          <w:i/>
        </w:rPr>
        <w:t>Joslin</w:t>
      </w:r>
      <w:proofErr w:type="spellEnd"/>
      <w:r w:rsidRPr="001B0588">
        <w:rPr>
          <w:bCs/>
          <w:i/>
        </w:rPr>
        <w:t xml:space="preserve"> holds FAA ratin</w:t>
      </w:r>
      <w:r w:rsidR="00DF2CB1">
        <w:rPr>
          <w:bCs/>
          <w:i/>
        </w:rPr>
        <w:t xml:space="preserve">gs and military qualifications </w:t>
      </w:r>
      <w:r w:rsidRPr="001B0588">
        <w:rPr>
          <w:bCs/>
          <w:i/>
        </w:rPr>
        <w:t xml:space="preserve">in aircraft ranging from large transports and </w:t>
      </w:r>
      <w:r w:rsidR="00975593">
        <w:rPr>
          <w:bCs/>
          <w:i/>
        </w:rPr>
        <w:t>military/</w:t>
      </w:r>
      <w:r w:rsidRPr="001B0588">
        <w:rPr>
          <w:bCs/>
          <w:i/>
        </w:rPr>
        <w:t xml:space="preserve">business jets, to general aviation airplanes, seaplanes, helicopters, gliders, powered lift aircraft, and </w:t>
      </w:r>
      <w:proofErr w:type="spellStart"/>
      <w:r w:rsidRPr="001B0588">
        <w:rPr>
          <w:bCs/>
          <w:i/>
        </w:rPr>
        <w:t>sUAS</w:t>
      </w:r>
      <w:proofErr w:type="spellEnd"/>
      <w:r w:rsidRPr="001B0588">
        <w:rPr>
          <w:bCs/>
          <w:i/>
        </w:rPr>
        <w:t>.</w:t>
      </w:r>
    </w:p>
    <w:p w14:paraId="41FDA764" w14:textId="77777777" w:rsidR="001B0588" w:rsidRDefault="001B0588" w:rsidP="001B0588">
      <w:pPr>
        <w:rPr>
          <w:b/>
          <w:bCs/>
        </w:rPr>
      </w:pPr>
    </w:p>
    <w:p w14:paraId="3B0B74BB" w14:textId="77777777" w:rsidR="004C0AC3" w:rsidRDefault="004C0AC3" w:rsidP="00DB2B32">
      <w:pPr>
        <w:rPr>
          <w:bCs/>
          <w:iCs/>
        </w:rPr>
      </w:pPr>
      <w:r w:rsidRPr="004C0AC3">
        <w:rPr>
          <w:bCs/>
          <w:iCs/>
        </w:rPr>
        <w:t>This technical paper provide</w:t>
      </w:r>
      <w:r>
        <w:rPr>
          <w:bCs/>
          <w:iCs/>
        </w:rPr>
        <w:t>s</w:t>
      </w:r>
      <w:r w:rsidRPr="004C0AC3">
        <w:rPr>
          <w:bCs/>
          <w:iCs/>
        </w:rPr>
        <w:t xml:space="preserve"> a historical summary of the chronological development of the flight control force regul</w:t>
      </w:r>
      <w:r w:rsidR="00C10F58">
        <w:rPr>
          <w:bCs/>
          <w:iCs/>
        </w:rPr>
        <w:t>atio</w:t>
      </w:r>
      <w:r w:rsidR="00966525">
        <w:rPr>
          <w:bCs/>
          <w:iCs/>
        </w:rPr>
        <w:t>ns for airplanes and rotorcraft</w:t>
      </w:r>
      <w:r w:rsidRPr="004C0AC3">
        <w:rPr>
          <w:bCs/>
          <w:iCs/>
        </w:rPr>
        <w:t>, review</w:t>
      </w:r>
      <w:r>
        <w:rPr>
          <w:bCs/>
          <w:iCs/>
        </w:rPr>
        <w:t>s</w:t>
      </w:r>
      <w:r w:rsidRPr="004C0AC3">
        <w:rPr>
          <w:bCs/>
          <w:iCs/>
        </w:rPr>
        <w:t xml:space="preserve"> relevant aircraft mishaps, and present</w:t>
      </w:r>
      <w:r>
        <w:rPr>
          <w:bCs/>
          <w:iCs/>
        </w:rPr>
        <w:t>s</w:t>
      </w:r>
      <w:r w:rsidRPr="004C0AC3">
        <w:rPr>
          <w:bCs/>
          <w:iCs/>
        </w:rPr>
        <w:t xml:space="preserve"> a way ahead for </w:t>
      </w:r>
      <w:r w:rsidR="00815FA9">
        <w:rPr>
          <w:bCs/>
          <w:iCs/>
        </w:rPr>
        <w:t xml:space="preserve">proactively </w:t>
      </w:r>
      <w:r w:rsidRPr="004C0AC3">
        <w:rPr>
          <w:bCs/>
          <w:iCs/>
        </w:rPr>
        <w:t>mitigating the hazard</w:t>
      </w:r>
      <w:r w:rsidR="00360DC7">
        <w:rPr>
          <w:bCs/>
          <w:iCs/>
        </w:rPr>
        <w:t xml:space="preserve"> of excessive pilot flight control forces</w:t>
      </w:r>
      <w:r w:rsidR="0090463A">
        <w:rPr>
          <w:bCs/>
          <w:iCs/>
        </w:rPr>
        <w:t xml:space="preserve"> </w:t>
      </w:r>
      <w:r w:rsidR="00A5009A">
        <w:rPr>
          <w:bCs/>
          <w:iCs/>
        </w:rPr>
        <w:t xml:space="preserve">by providing </w:t>
      </w:r>
      <w:r w:rsidRPr="004C0AC3">
        <w:rPr>
          <w:bCs/>
          <w:iCs/>
        </w:rPr>
        <w:t xml:space="preserve">valid flight control force-application strength data </w:t>
      </w:r>
      <w:r w:rsidR="00966525">
        <w:rPr>
          <w:bCs/>
          <w:iCs/>
        </w:rPr>
        <w:t>to ensure</w:t>
      </w:r>
      <w:r w:rsidRPr="004C0AC3">
        <w:rPr>
          <w:bCs/>
          <w:iCs/>
        </w:rPr>
        <w:t xml:space="preserve"> new aircraft designs account for the current pilot population demographic and flight control configurations. </w:t>
      </w:r>
    </w:p>
    <w:p w14:paraId="4189F5C3" w14:textId="77777777" w:rsidR="004C0AC3" w:rsidRDefault="004C0AC3" w:rsidP="00DB2B32">
      <w:pPr>
        <w:rPr>
          <w:bCs/>
          <w:iCs/>
        </w:rPr>
      </w:pPr>
    </w:p>
    <w:p w14:paraId="64A60CC9" w14:textId="77777777" w:rsidR="001C2F54" w:rsidRDefault="001C2F54" w:rsidP="001C2F54">
      <w:pPr>
        <w:jc w:val="center"/>
        <w:rPr>
          <w:b/>
          <w:bCs/>
          <w:iCs/>
        </w:rPr>
      </w:pPr>
      <w:r w:rsidRPr="00EC4A35">
        <w:rPr>
          <w:b/>
          <w:bCs/>
          <w:iCs/>
        </w:rPr>
        <w:t>The Hazard</w:t>
      </w:r>
    </w:p>
    <w:p w14:paraId="514557C8" w14:textId="77777777" w:rsidR="00734361" w:rsidRPr="00EC4A35" w:rsidRDefault="00734361" w:rsidP="001C2F54">
      <w:pPr>
        <w:jc w:val="center"/>
        <w:rPr>
          <w:b/>
          <w:bCs/>
          <w:iCs/>
        </w:rPr>
      </w:pPr>
    </w:p>
    <w:p w14:paraId="6C45688C" w14:textId="77777777" w:rsidR="001C2F54" w:rsidRPr="00781D0B" w:rsidRDefault="001C2F54" w:rsidP="001C2F54">
      <w:pPr>
        <w:rPr>
          <w:bCs/>
          <w:iCs/>
        </w:rPr>
      </w:pPr>
      <w:r w:rsidRPr="00781D0B">
        <w:rPr>
          <w:bCs/>
          <w:iCs/>
        </w:rPr>
        <w:t>A</w:t>
      </w:r>
      <w:r>
        <w:rPr>
          <w:bCs/>
          <w:iCs/>
        </w:rPr>
        <w:t>ccident,</w:t>
      </w:r>
      <w:r w:rsidR="00A5009A">
        <w:rPr>
          <w:bCs/>
          <w:iCs/>
        </w:rPr>
        <w:t xml:space="preserve"> incident, and anomalous event </w:t>
      </w:r>
      <w:r>
        <w:rPr>
          <w:bCs/>
          <w:iCs/>
        </w:rPr>
        <w:t>reports from the National Transportation Safety Board (NTSB) and the Aviation Safety Reporting System</w:t>
      </w:r>
      <w:r>
        <w:rPr>
          <w:rStyle w:val="EndnoteReference"/>
          <w:bCs/>
          <w:iCs/>
        </w:rPr>
        <w:endnoteReference w:id="1"/>
      </w:r>
      <w:r>
        <w:rPr>
          <w:bCs/>
          <w:iCs/>
        </w:rPr>
        <w:t xml:space="preserve"> (ASRS) databases highlight</w:t>
      </w:r>
      <w:r w:rsidRPr="00781D0B">
        <w:rPr>
          <w:bCs/>
          <w:iCs/>
        </w:rPr>
        <w:t xml:space="preserve"> the safety implications of continued reliance on </w:t>
      </w:r>
      <w:r>
        <w:rPr>
          <w:bCs/>
          <w:iCs/>
        </w:rPr>
        <w:t xml:space="preserve">the current </w:t>
      </w:r>
      <w:r w:rsidRPr="00781D0B">
        <w:rPr>
          <w:bCs/>
          <w:iCs/>
        </w:rPr>
        <w:t xml:space="preserve">regulations for </w:t>
      </w:r>
      <w:r>
        <w:rPr>
          <w:bCs/>
          <w:iCs/>
        </w:rPr>
        <w:t xml:space="preserve">pilot flight </w:t>
      </w:r>
      <w:r w:rsidRPr="00781D0B">
        <w:rPr>
          <w:bCs/>
          <w:iCs/>
        </w:rPr>
        <w:t>control force</w:t>
      </w:r>
      <w:r>
        <w:rPr>
          <w:bCs/>
          <w:iCs/>
        </w:rPr>
        <w:t>s that have been deemed by mishap pilots and investigators</w:t>
      </w:r>
      <w:r w:rsidR="00844373">
        <w:rPr>
          <w:bCs/>
          <w:iCs/>
        </w:rPr>
        <w:t xml:space="preserve"> alike</w:t>
      </w:r>
      <w:r>
        <w:rPr>
          <w:bCs/>
          <w:iCs/>
        </w:rPr>
        <w:t xml:space="preserve"> as requiring excessive strength</w:t>
      </w:r>
      <w:r w:rsidR="00844373">
        <w:rPr>
          <w:bCs/>
          <w:iCs/>
        </w:rPr>
        <w:t>,</w:t>
      </w:r>
      <w:r>
        <w:rPr>
          <w:bCs/>
          <w:iCs/>
        </w:rPr>
        <w:t xml:space="preserve"> even though they may be compliant with the regulatory requirements.</w:t>
      </w:r>
      <w:r w:rsidRPr="00781D0B">
        <w:rPr>
          <w:bCs/>
          <w:iCs/>
        </w:rPr>
        <w:t xml:space="preserve">  </w:t>
      </w:r>
    </w:p>
    <w:p w14:paraId="3DC8BB58" w14:textId="77777777" w:rsidR="00DB2B32" w:rsidRPr="00781D0B" w:rsidRDefault="00DB2B32" w:rsidP="00DB2B32">
      <w:pPr>
        <w:ind w:firstLine="432"/>
        <w:rPr>
          <w:bCs/>
          <w:iCs/>
        </w:rPr>
      </w:pPr>
    </w:p>
    <w:p w14:paraId="58C7FBCE" w14:textId="77777777" w:rsidR="00DD40C9" w:rsidRPr="00CF6687" w:rsidRDefault="00CF6687" w:rsidP="00CF6687">
      <w:pPr>
        <w:autoSpaceDE w:val="0"/>
        <w:autoSpaceDN w:val="0"/>
        <w:adjustRightInd w:val="0"/>
        <w:ind w:left="432"/>
        <w:rPr>
          <w:i/>
        </w:rPr>
      </w:pPr>
      <w:r>
        <w:rPr>
          <w:i/>
        </w:rPr>
        <w:t>“</w:t>
      </w:r>
      <w:r w:rsidR="00DD40C9" w:rsidRPr="00CF6687">
        <w:rPr>
          <w:i/>
        </w:rPr>
        <w:t>The pilot</w:t>
      </w:r>
      <w:r>
        <w:rPr>
          <w:i/>
        </w:rPr>
        <w:t xml:space="preserve"> </w:t>
      </w:r>
      <w:r w:rsidR="00DD40C9" w:rsidRPr="00CF6687">
        <w:rPr>
          <w:i/>
        </w:rPr>
        <w:t>reported, however, that even with he and the passenger exerting what the pilot described as</w:t>
      </w:r>
    </w:p>
    <w:p w14:paraId="0B13E9B4" w14:textId="77777777" w:rsidR="00DD40C9" w:rsidRPr="00CF6687" w:rsidRDefault="00DD40C9" w:rsidP="00CF6687">
      <w:pPr>
        <w:autoSpaceDE w:val="0"/>
        <w:autoSpaceDN w:val="0"/>
        <w:adjustRightInd w:val="0"/>
        <w:ind w:left="432"/>
        <w:rPr>
          <w:i/>
        </w:rPr>
      </w:pPr>
      <w:r w:rsidRPr="00CF6687">
        <w:rPr>
          <w:i/>
        </w:rPr>
        <w:t>“maximum yoke back pressure,” the airplane’s negative, nose-down pitch attitude increased,</w:t>
      </w:r>
    </w:p>
    <w:p w14:paraId="15F94608" w14:textId="77777777" w:rsidR="00DD40C9" w:rsidRPr="00CF6687" w:rsidRDefault="00DD40C9" w:rsidP="00CF6687">
      <w:pPr>
        <w:autoSpaceDE w:val="0"/>
        <w:autoSpaceDN w:val="0"/>
        <w:adjustRightInd w:val="0"/>
        <w:ind w:left="432"/>
        <w:rPr>
          <w:i/>
        </w:rPr>
      </w:pPr>
      <w:r w:rsidRPr="00CF6687">
        <w:rPr>
          <w:i/>
        </w:rPr>
        <w:t>airspeed approached the maximum operating speed (for operation at less than 30,000 feet) of</w:t>
      </w:r>
    </w:p>
    <w:p w14:paraId="170057C2" w14:textId="77777777" w:rsidR="00DD40C9" w:rsidRPr="00CF6687" w:rsidRDefault="00DD40C9" w:rsidP="00CF6687">
      <w:pPr>
        <w:autoSpaceDE w:val="0"/>
        <w:autoSpaceDN w:val="0"/>
        <w:adjustRightInd w:val="0"/>
        <w:ind w:left="432"/>
        <w:rPr>
          <w:i/>
        </w:rPr>
      </w:pPr>
      <w:r w:rsidRPr="00CF6687">
        <w:rPr>
          <w:i/>
        </w:rPr>
        <w:t>263 knots, and rate of descent increased to approximately 2,000 feet per minute. The pilot also</w:t>
      </w:r>
    </w:p>
    <w:p w14:paraId="03335F75" w14:textId="77777777" w:rsidR="00DD40C9" w:rsidRPr="00CF6687" w:rsidRDefault="00DD40C9" w:rsidP="00CF6687">
      <w:pPr>
        <w:autoSpaceDE w:val="0"/>
        <w:autoSpaceDN w:val="0"/>
        <w:adjustRightInd w:val="0"/>
        <w:ind w:left="432"/>
        <w:rPr>
          <w:b/>
          <w:i/>
        </w:rPr>
      </w:pPr>
      <w:r w:rsidRPr="00CF6687">
        <w:rPr>
          <w:i/>
        </w:rPr>
        <w:t xml:space="preserve">stated that, </w:t>
      </w:r>
      <w:r w:rsidRPr="00CF6687">
        <w:rPr>
          <w:b/>
          <w:i/>
        </w:rPr>
        <w:t>because of the severe control forces required, he could not safely remove either hand</w:t>
      </w:r>
    </w:p>
    <w:p w14:paraId="64E1C4E6" w14:textId="77777777" w:rsidR="00DD40C9" w:rsidRPr="00CF6687" w:rsidRDefault="00DD40C9" w:rsidP="00CF6687">
      <w:pPr>
        <w:autoSpaceDE w:val="0"/>
        <w:autoSpaceDN w:val="0"/>
        <w:adjustRightInd w:val="0"/>
        <w:ind w:left="432"/>
        <w:rPr>
          <w:i/>
        </w:rPr>
      </w:pPr>
      <w:r w:rsidRPr="00CF6687">
        <w:rPr>
          <w:b/>
          <w:i/>
        </w:rPr>
        <w:t xml:space="preserve">from the control yoke for more than several seconds at a time </w:t>
      </w:r>
      <w:r w:rsidR="00CF6687" w:rsidRPr="00CF6687">
        <w:rPr>
          <w:b/>
          <w:i/>
        </w:rPr>
        <w:t xml:space="preserve">to manipulate other flight deck </w:t>
      </w:r>
      <w:r w:rsidRPr="00CF6687">
        <w:rPr>
          <w:b/>
          <w:i/>
        </w:rPr>
        <w:t>controls</w:t>
      </w:r>
      <w:r w:rsidR="00CF6687">
        <w:rPr>
          <w:i/>
        </w:rPr>
        <w:t>”</w:t>
      </w:r>
      <w:r w:rsidRPr="00CF6687">
        <w:rPr>
          <w:i/>
        </w:rPr>
        <w:t>.</w:t>
      </w:r>
      <w:r w:rsidR="00CF6687" w:rsidRPr="00CF6687">
        <w:t xml:space="preserve"> </w:t>
      </w:r>
      <w:r w:rsidR="00FE1BAC">
        <w:t xml:space="preserve">(NTSB </w:t>
      </w:r>
      <w:r w:rsidR="00CF6687" w:rsidRPr="006C3E8D">
        <w:t>SEA03FA147)</w:t>
      </w:r>
    </w:p>
    <w:p w14:paraId="444B8AA4" w14:textId="77777777" w:rsidR="00DB2B32" w:rsidRDefault="00DB2B32" w:rsidP="00DB2B32">
      <w:pPr>
        <w:ind w:firstLine="432"/>
        <w:rPr>
          <w:bCs/>
          <w:i/>
          <w:iCs/>
        </w:rPr>
      </w:pPr>
    </w:p>
    <w:p w14:paraId="21129351" w14:textId="77777777" w:rsidR="006444F4" w:rsidRDefault="0053476F" w:rsidP="00DB2B32">
      <w:pPr>
        <w:ind w:left="432"/>
      </w:pPr>
      <w:r>
        <w:rPr>
          <w:i/>
        </w:rPr>
        <w:t>“</w:t>
      </w:r>
      <w:r w:rsidR="00993706" w:rsidRPr="00993706">
        <w:rPr>
          <w:i/>
        </w:rPr>
        <w:t xml:space="preserve">In a nearly full nose up trim position, </w:t>
      </w:r>
      <w:r w:rsidR="00993706" w:rsidRPr="00CF6687">
        <w:rPr>
          <w:b/>
          <w:i/>
        </w:rPr>
        <w:t xml:space="preserve">I was barely able to exert enough force (I am a 200 </w:t>
      </w:r>
      <w:proofErr w:type="spellStart"/>
      <w:r w:rsidR="00993706" w:rsidRPr="00CF6687">
        <w:rPr>
          <w:b/>
          <w:i/>
        </w:rPr>
        <w:t>lb</w:t>
      </w:r>
      <w:proofErr w:type="spellEnd"/>
      <w:r w:rsidR="00993706" w:rsidRPr="00CF6687">
        <w:rPr>
          <w:b/>
          <w:i/>
        </w:rPr>
        <w:t xml:space="preserve"> male) on the yoke to stop the pitch up </w:t>
      </w:r>
      <w:r w:rsidR="00993706" w:rsidRPr="00CF6687">
        <w:rPr>
          <w:b/>
          <w:bCs/>
          <w:i/>
          <w:iCs/>
        </w:rPr>
        <w:t>much less able to reduce it.</w:t>
      </w:r>
      <w:r w:rsidR="00993706" w:rsidRPr="00993706">
        <w:rPr>
          <w:bCs/>
          <w:i/>
          <w:iCs/>
        </w:rPr>
        <w:t xml:space="preserve"> </w:t>
      </w:r>
      <w:r w:rsidR="00AD298C">
        <w:rPr>
          <w:bCs/>
          <w:i/>
          <w:iCs/>
        </w:rPr>
        <w:t>N</w:t>
      </w:r>
      <w:r w:rsidR="00993706" w:rsidRPr="00993706">
        <w:rPr>
          <w:bCs/>
          <w:i/>
          <w:iCs/>
        </w:rPr>
        <w:t xml:space="preserve">ot recognizing what was causing the problem or less physical </w:t>
      </w:r>
      <w:r w:rsidR="00993706" w:rsidRPr="00993706">
        <w:rPr>
          <w:b/>
          <w:bCs/>
          <w:i/>
          <w:iCs/>
        </w:rPr>
        <w:t>strength</w:t>
      </w:r>
      <w:r w:rsidR="00993706" w:rsidRPr="00993706">
        <w:rPr>
          <w:bCs/>
          <w:i/>
          <w:iCs/>
        </w:rPr>
        <w:t xml:space="preserve"> would most definitely resulted in a departure stall</w:t>
      </w:r>
      <w:proofErr w:type="gramStart"/>
      <w:r w:rsidR="00993706" w:rsidRPr="00993706">
        <w:rPr>
          <w:i/>
        </w:rPr>
        <w:t>.</w:t>
      </w:r>
      <w:r>
        <w:rPr>
          <w:i/>
        </w:rPr>
        <w:t>”</w:t>
      </w:r>
      <w:r w:rsidR="00993706" w:rsidRPr="005C41D9">
        <w:t>(</w:t>
      </w:r>
      <w:proofErr w:type="gramEnd"/>
      <w:r w:rsidR="00993706" w:rsidRPr="005C41D9">
        <w:t>ASRS</w:t>
      </w:r>
      <w:r w:rsidR="00993706">
        <w:t xml:space="preserve"> </w:t>
      </w:r>
      <w:r w:rsidR="006444F4">
        <w:t>715548)</w:t>
      </w:r>
    </w:p>
    <w:p w14:paraId="60AA46D1" w14:textId="77777777" w:rsidR="006444F4" w:rsidRDefault="006444F4" w:rsidP="00DB2B32">
      <w:pPr>
        <w:ind w:left="432"/>
        <w:rPr>
          <w:bCs/>
          <w:i/>
          <w:iCs/>
        </w:rPr>
      </w:pPr>
    </w:p>
    <w:p w14:paraId="7F6BA932" w14:textId="77777777" w:rsidR="00AC4004" w:rsidRPr="00993706" w:rsidRDefault="0053476F" w:rsidP="00DB2B32">
      <w:pPr>
        <w:ind w:left="432"/>
      </w:pPr>
      <w:r>
        <w:rPr>
          <w:bCs/>
          <w:i/>
          <w:iCs/>
        </w:rPr>
        <w:t>“</w:t>
      </w:r>
      <w:r w:rsidR="00993706">
        <w:rPr>
          <w:bCs/>
          <w:i/>
          <w:iCs/>
        </w:rPr>
        <w:t>T</w:t>
      </w:r>
      <w:r w:rsidR="00993706" w:rsidRPr="00AC4004">
        <w:rPr>
          <w:bCs/>
          <w:i/>
          <w:iCs/>
        </w:rPr>
        <w:t>he autop</w:t>
      </w:r>
      <w:r w:rsidR="00993706">
        <w:rPr>
          <w:bCs/>
          <w:i/>
          <w:iCs/>
        </w:rPr>
        <w:t>i</w:t>
      </w:r>
      <w:r w:rsidR="00993706" w:rsidRPr="00AC4004">
        <w:rPr>
          <w:bCs/>
          <w:i/>
          <w:iCs/>
        </w:rPr>
        <w:t>l</w:t>
      </w:r>
      <w:r w:rsidR="00993706">
        <w:rPr>
          <w:bCs/>
          <w:i/>
          <w:iCs/>
        </w:rPr>
        <w:t>o</w:t>
      </w:r>
      <w:r w:rsidR="00993706" w:rsidRPr="00AC4004">
        <w:rPr>
          <w:bCs/>
          <w:i/>
          <w:iCs/>
        </w:rPr>
        <w:t xml:space="preserve">t was disconnected and when attempting to move the ailerons </w:t>
      </w:r>
      <w:r w:rsidR="00993706" w:rsidRPr="00CF6687">
        <w:rPr>
          <w:b/>
          <w:bCs/>
          <w:i/>
          <w:iCs/>
        </w:rPr>
        <w:t>it took both hands and excessive force to move the ailerons</w:t>
      </w:r>
      <w:r w:rsidR="005C41D9">
        <w:rPr>
          <w:bCs/>
          <w:i/>
          <w:iCs/>
        </w:rPr>
        <w:t>.</w:t>
      </w:r>
      <w:r w:rsidR="00993706">
        <w:rPr>
          <w:bCs/>
          <w:i/>
          <w:iCs/>
        </w:rPr>
        <w:t xml:space="preserve"> T</w:t>
      </w:r>
      <w:r w:rsidR="00993706" w:rsidRPr="00AC4004">
        <w:rPr>
          <w:bCs/>
          <w:i/>
          <w:iCs/>
        </w:rPr>
        <w:t>he r</w:t>
      </w:r>
      <w:r w:rsidR="00993706">
        <w:rPr>
          <w:bCs/>
          <w:i/>
          <w:iCs/>
        </w:rPr>
        <w:t>eporter</w:t>
      </w:r>
      <w:r w:rsidR="00993706" w:rsidRPr="00AC4004">
        <w:rPr>
          <w:bCs/>
          <w:i/>
          <w:iCs/>
        </w:rPr>
        <w:t xml:space="preserve"> said the aileron prob</w:t>
      </w:r>
      <w:r w:rsidR="00993706">
        <w:rPr>
          <w:bCs/>
          <w:i/>
          <w:iCs/>
        </w:rPr>
        <w:t>lem</w:t>
      </w:r>
      <w:r w:rsidR="00993706" w:rsidRPr="00AC4004">
        <w:rPr>
          <w:bCs/>
          <w:i/>
          <w:iCs/>
        </w:rPr>
        <w:t xml:space="preserve"> was caused by the autop</w:t>
      </w:r>
      <w:r w:rsidR="00993706">
        <w:rPr>
          <w:bCs/>
          <w:i/>
          <w:iCs/>
        </w:rPr>
        <w:t>i</w:t>
      </w:r>
      <w:r w:rsidR="00993706" w:rsidRPr="00AC4004">
        <w:rPr>
          <w:bCs/>
          <w:i/>
          <w:iCs/>
        </w:rPr>
        <w:t>l</w:t>
      </w:r>
      <w:r w:rsidR="00993706">
        <w:rPr>
          <w:bCs/>
          <w:i/>
          <w:iCs/>
        </w:rPr>
        <w:t>o</w:t>
      </w:r>
      <w:r w:rsidR="00993706" w:rsidRPr="00AC4004">
        <w:rPr>
          <w:bCs/>
          <w:i/>
          <w:iCs/>
        </w:rPr>
        <w:t>t aileron servo that did not disconnect when the autop</w:t>
      </w:r>
      <w:r w:rsidR="00993706">
        <w:rPr>
          <w:bCs/>
          <w:i/>
          <w:iCs/>
        </w:rPr>
        <w:t>i</w:t>
      </w:r>
      <w:r w:rsidR="00993706" w:rsidRPr="00AC4004">
        <w:rPr>
          <w:bCs/>
          <w:i/>
          <w:iCs/>
        </w:rPr>
        <w:t>l</w:t>
      </w:r>
      <w:r w:rsidR="00993706">
        <w:rPr>
          <w:bCs/>
          <w:i/>
          <w:iCs/>
        </w:rPr>
        <w:t>o</w:t>
      </w:r>
      <w:r w:rsidR="00993706" w:rsidRPr="00AC4004">
        <w:rPr>
          <w:bCs/>
          <w:i/>
          <w:iCs/>
        </w:rPr>
        <w:t>t was switched off and was being back driven by manual inputs</w:t>
      </w:r>
      <w:r w:rsidR="00AC4004" w:rsidRPr="00993706">
        <w:rPr>
          <w:bCs/>
          <w:iCs/>
        </w:rPr>
        <w:t>.</w:t>
      </w:r>
      <w:r w:rsidR="005C41D9">
        <w:rPr>
          <w:bCs/>
          <w:iCs/>
        </w:rPr>
        <w:t>”</w:t>
      </w:r>
      <w:r w:rsidR="0083131D">
        <w:rPr>
          <w:bCs/>
          <w:iCs/>
        </w:rPr>
        <w:t xml:space="preserve"> </w:t>
      </w:r>
      <w:r w:rsidR="00A5009A">
        <w:rPr>
          <w:bCs/>
          <w:iCs/>
        </w:rPr>
        <w:t xml:space="preserve">(ASRS </w:t>
      </w:r>
      <w:r w:rsidR="00AC4004" w:rsidRPr="00993706">
        <w:t>417844)</w:t>
      </w:r>
    </w:p>
    <w:p w14:paraId="6046EB3B" w14:textId="77777777" w:rsidR="00CA7157" w:rsidRDefault="00CA7157" w:rsidP="00DB2B32">
      <w:pPr>
        <w:ind w:left="432"/>
        <w:rPr>
          <w:bCs/>
          <w:i/>
          <w:iCs/>
        </w:rPr>
      </w:pPr>
    </w:p>
    <w:p w14:paraId="1BBB313E" w14:textId="77777777" w:rsidR="00FE1BAC" w:rsidRDefault="0053476F" w:rsidP="00FE1BAC">
      <w:pPr>
        <w:ind w:left="432"/>
      </w:pPr>
      <w:r>
        <w:rPr>
          <w:i/>
        </w:rPr>
        <w:t>“</w:t>
      </w:r>
      <w:r w:rsidR="00FE1BAC" w:rsidRPr="005C0347">
        <w:rPr>
          <w:i/>
        </w:rPr>
        <w:t xml:space="preserve">As the pilot approached the survey location, the loss of hydraulic pressure most likely resulted </w:t>
      </w:r>
      <w:r w:rsidR="00FE1BAC" w:rsidRPr="00FE1BAC">
        <w:rPr>
          <w:b/>
          <w:i/>
        </w:rPr>
        <w:t>in very-high collective control forces</w:t>
      </w:r>
      <w:r w:rsidR="00FE1BAC" w:rsidRPr="005C0347">
        <w:rPr>
          <w:i/>
        </w:rPr>
        <w:t xml:space="preserve"> and pilot-induced oscillations."…high altitude operations could be compromised due to the high collective</w:t>
      </w:r>
      <w:r w:rsidR="00FE1BAC">
        <w:rPr>
          <w:i/>
        </w:rPr>
        <w:t xml:space="preserve"> control force</w:t>
      </w:r>
      <w:r w:rsidR="00FE1BAC" w:rsidRPr="005C0347">
        <w:rPr>
          <w:i/>
        </w:rPr>
        <w:t xml:space="preserve"> encountered without hydraulics assist, ther</w:t>
      </w:r>
      <w:r w:rsidR="005C41D9">
        <w:rPr>
          <w:i/>
        </w:rPr>
        <w:t>eby restricting control travel</w:t>
      </w:r>
      <w:r w:rsidR="00FE1BAC" w:rsidRPr="005C0347">
        <w:rPr>
          <w:i/>
        </w:rPr>
        <w:t>.</w:t>
      </w:r>
      <w:r w:rsidR="005C41D9">
        <w:rPr>
          <w:i/>
        </w:rPr>
        <w:t>”</w:t>
      </w:r>
      <w:r w:rsidR="00FE1BAC">
        <w:t xml:space="preserve"> (NTSB CEN13FA415)</w:t>
      </w:r>
    </w:p>
    <w:p w14:paraId="775CE632" w14:textId="77777777" w:rsidR="00FE1BAC" w:rsidRDefault="00FE1BAC" w:rsidP="00DB2B32">
      <w:pPr>
        <w:ind w:left="432"/>
        <w:rPr>
          <w:bCs/>
          <w:i/>
          <w:iCs/>
        </w:rPr>
      </w:pPr>
    </w:p>
    <w:p w14:paraId="41F801BA" w14:textId="77777777" w:rsidR="00A413A2" w:rsidRDefault="00A413A2" w:rsidP="00DB2B32">
      <w:pPr>
        <w:ind w:left="432"/>
        <w:rPr>
          <w:bCs/>
          <w:i/>
          <w:iCs/>
        </w:rPr>
      </w:pPr>
    </w:p>
    <w:p w14:paraId="62671642" w14:textId="77777777" w:rsidR="00DF62DA" w:rsidRDefault="00DF05C6" w:rsidP="00DF05C6">
      <w:pPr>
        <w:ind w:left="432"/>
        <w:jc w:val="center"/>
        <w:rPr>
          <w:b/>
          <w:bCs/>
          <w:iCs/>
        </w:rPr>
      </w:pPr>
      <w:r w:rsidRPr="00EC4A35">
        <w:rPr>
          <w:b/>
          <w:bCs/>
          <w:iCs/>
        </w:rPr>
        <w:lastRenderedPageBreak/>
        <w:t>The Regulations</w:t>
      </w:r>
    </w:p>
    <w:p w14:paraId="27CDCC14" w14:textId="77777777" w:rsidR="00734361" w:rsidRPr="00EC4A35" w:rsidRDefault="00734361" w:rsidP="00DF05C6">
      <w:pPr>
        <w:ind w:left="432"/>
        <w:jc w:val="center"/>
        <w:rPr>
          <w:b/>
          <w:bCs/>
          <w:iCs/>
        </w:rPr>
      </w:pPr>
    </w:p>
    <w:p w14:paraId="1D1AD689" w14:textId="77777777" w:rsidR="00781D0B" w:rsidRDefault="001F1D6A" w:rsidP="002F2967">
      <w:pPr>
        <w:rPr>
          <w:bCs/>
          <w:iCs/>
        </w:rPr>
      </w:pPr>
      <w:r w:rsidRPr="001F1D6A">
        <w:rPr>
          <w:bCs/>
          <w:iCs/>
        </w:rPr>
        <w:t xml:space="preserve">The maximum force requirements </w:t>
      </w:r>
      <w:r w:rsidR="005C514C" w:rsidRPr="001F1D6A">
        <w:rPr>
          <w:bCs/>
          <w:iCs/>
        </w:rPr>
        <w:t>for manipulation of flight controls</w:t>
      </w:r>
      <w:r w:rsidR="005C514C">
        <w:rPr>
          <w:bCs/>
          <w:iCs/>
        </w:rPr>
        <w:t xml:space="preserve"> in transport category</w:t>
      </w:r>
      <w:r w:rsidR="00FE1BAC">
        <w:rPr>
          <w:bCs/>
          <w:iCs/>
        </w:rPr>
        <w:t xml:space="preserve"> Part 25</w:t>
      </w:r>
      <w:r w:rsidR="005C514C">
        <w:rPr>
          <w:bCs/>
          <w:iCs/>
        </w:rPr>
        <w:t xml:space="preserve"> airplanes </w:t>
      </w:r>
      <w:r w:rsidRPr="001F1D6A">
        <w:rPr>
          <w:bCs/>
          <w:iCs/>
        </w:rPr>
        <w:t xml:space="preserve">are quantitatively specified in </w:t>
      </w:r>
      <w:r w:rsidR="005C514C">
        <w:rPr>
          <w:bCs/>
          <w:iCs/>
        </w:rPr>
        <w:t>the</w:t>
      </w:r>
      <w:r w:rsidR="0066623B">
        <w:rPr>
          <w:bCs/>
          <w:iCs/>
        </w:rPr>
        <w:t xml:space="preserve"> Federal Aviation Regulations</w:t>
      </w:r>
      <w:r w:rsidR="00F23339">
        <w:rPr>
          <w:bCs/>
          <w:iCs/>
        </w:rPr>
        <w:t xml:space="preserve"> </w:t>
      </w:r>
      <w:r w:rsidR="00F25CE7">
        <w:rPr>
          <w:bCs/>
          <w:iCs/>
        </w:rPr>
        <w:t>(FAR)</w:t>
      </w:r>
      <w:r w:rsidR="005C514C">
        <w:rPr>
          <w:bCs/>
          <w:iCs/>
        </w:rPr>
        <w:t xml:space="preserve"> under 14CFR</w:t>
      </w:r>
      <w:r w:rsidR="005C514C" w:rsidRPr="001F1D6A">
        <w:rPr>
          <w:bCs/>
          <w:iCs/>
        </w:rPr>
        <w:t xml:space="preserve"> §25.143</w:t>
      </w:r>
      <w:r w:rsidR="00AC0EAD">
        <w:rPr>
          <w:bCs/>
          <w:iCs/>
        </w:rPr>
        <w:t>(d</w:t>
      </w:r>
      <w:r w:rsidR="005C514C">
        <w:rPr>
          <w:bCs/>
          <w:iCs/>
        </w:rPr>
        <w:t>)</w:t>
      </w:r>
      <w:r w:rsidR="001C0C5F">
        <w:rPr>
          <w:bCs/>
          <w:iCs/>
        </w:rPr>
        <w:t xml:space="preserve"> and</w:t>
      </w:r>
      <w:r w:rsidR="007D7411">
        <w:rPr>
          <w:bCs/>
          <w:iCs/>
        </w:rPr>
        <w:t xml:space="preserve"> European Aviation Safety Agency (EASA) regulations under</w:t>
      </w:r>
      <w:r w:rsidR="001C0C5F">
        <w:rPr>
          <w:bCs/>
          <w:iCs/>
        </w:rPr>
        <w:t xml:space="preserve"> Certification Specification</w:t>
      </w:r>
      <w:r w:rsidR="002865AB">
        <w:rPr>
          <w:bCs/>
          <w:iCs/>
        </w:rPr>
        <w:t xml:space="preserve"> (C.S.)</w:t>
      </w:r>
      <w:r w:rsidR="001C0C5F">
        <w:rPr>
          <w:bCs/>
          <w:iCs/>
        </w:rPr>
        <w:t xml:space="preserve"> 25.143(d)</w:t>
      </w:r>
      <w:r w:rsidR="00EC4A35">
        <w:rPr>
          <w:bCs/>
          <w:iCs/>
        </w:rPr>
        <w:t xml:space="preserve"> [Table</w:t>
      </w:r>
      <w:r w:rsidR="00DF05C6">
        <w:rPr>
          <w:bCs/>
          <w:iCs/>
        </w:rPr>
        <w:t xml:space="preserve"> 1]</w:t>
      </w:r>
      <w:r w:rsidR="005C514C">
        <w:rPr>
          <w:bCs/>
          <w:iCs/>
        </w:rPr>
        <w:t>.  The control force values</w:t>
      </w:r>
      <w:r w:rsidR="005C514C" w:rsidRPr="001F1D6A">
        <w:rPr>
          <w:bCs/>
          <w:iCs/>
        </w:rPr>
        <w:t xml:space="preserve"> </w:t>
      </w:r>
      <w:r w:rsidRPr="001F1D6A">
        <w:rPr>
          <w:bCs/>
          <w:iCs/>
        </w:rPr>
        <w:t>were originally derived from data for 5</w:t>
      </w:r>
      <w:r w:rsidRPr="001F1D6A">
        <w:rPr>
          <w:bCs/>
          <w:iCs/>
          <w:vertAlign w:val="superscript"/>
        </w:rPr>
        <w:t>th</w:t>
      </w:r>
      <w:r w:rsidRPr="001F1D6A">
        <w:rPr>
          <w:bCs/>
          <w:iCs/>
        </w:rPr>
        <w:t xml:space="preserve"> to 95</w:t>
      </w:r>
      <w:r w:rsidRPr="001F1D6A">
        <w:rPr>
          <w:bCs/>
          <w:iCs/>
          <w:vertAlign w:val="superscript"/>
        </w:rPr>
        <w:t>th</w:t>
      </w:r>
      <w:r w:rsidR="005C41D9">
        <w:rPr>
          <w:bCs/>
          <w:iCs/>
        </w:rPr>
        <w:t xml:space="preserve"> </w:t>
      </w:r>
      <w:r w:rsidRPr="001F1D6A">
        <w:rPr>
          <w:bCs/>
          <w:iCs/>
        </w:rPr>
        <w:t>percentile males applying for</w:t>
      </w:r>
      <w:r w:rsidR="002865AB">
        <w:rPr>
          <w:bCs/>
          <w:iCs/>
        </w:rPr>
        <w:t xml:space="preserve"> U.S.</w:t>
      </w:r>
      <w:r w:rsidRPr="001F1D6A">
        <w:rPr>
          <w:bCs/>
          <w:iCs/>
        </w:rPr>
        <w:t xml:space="preserve"> military service in the 1950’s </w:t>
      </w:r>
      <w:r w:rsidR="00732881">
        <w:rPr>
          <w:bCs/>
          <w:iCs/>
        </w:rPr>
        <w:t>as</w:t>
      </w:r>
      <w:r w:rsidR="00F83961">
        <w:rPr>
          <w:bCs/>
          <w:iCs/>
        </w:rPr>
        <w:t xml:space="preserve"> published in Mil-Std-1472, Mil-Hdbk-759</w:t>
      </w:r>
      <w:r w:rsidRPr="001F1D6A">
        <w:rPr>
          <w:bCs/>
          <w:iCs/>
        </w:rPr>
        <w:t xml:space="preserve">, </w:t>
      </w:r>
      <w:r w:rsidR="00F83961">
        <w:rPr>
          <w:bCs/>
          <w:iCs/>
        </w:rPr>
        <w:t>Mil-F-8785</w:t>
      </w:r>
      <w:r w:rsidR="0066623B">
        <w:rPr>
          <w:bCs/>
          <w:iCs/>
        </w:rPr>
        <w:t>,</w:t>
      </w:r>
      <w:r w:rsidR="005C41D9">
        <w:rPr>
          <w:bCs/>
          <w:iCs/>
        </w:rPr>
        <w:t xml:space="preserve"> </w:t>
      </w:r>
      <w:r w:rsidR="00F83961">
        <w:rPr>
          <w:bCs/>
          <w:iCs/>
        </w:rPr>
        <w:t xml:space="preserve">and </w:t>
      </w:r>
      <w:proofErr w:type="spellStart"/>
      <w:r w:rsidR="00F83961">
        <w:rPr>
          <w:bCs/>
          <w:iCs/>
        </w:rPr>
        <w:t>DoD</w:t>
      </w:r>
      <w:proofErr w:type="spellEnd"/>
      <w:r w:rsidR="00F83961">
        <w:rPr>
          <w:bCs/>
          <w:iCs/>
        </w:rPr>
        <w:t xml:space="preserve"> Hdbk-743</w:t>
      </w:r>
      <w:r w:rsidR="005C41D9">
        <w:rPr>
          <w:bCs/>
          <w:iCs/>
        </w:rPr>
        <w:t xml:space="preserve">, thus are not </w:t>
      </w:r>
      <w:r w:rsidRPr="001F1D6A">
        <w:rPr>
          <w:bCs/>
          <w:iCs/>
        </w:rPr>
        <w:t xml:space="preserve">representative of the current </w:t>
      </w:r>
      <w:r w:rsidR="00732881">
        <w:rPr>
          <w:bCs/>
          <w:iCs/>
        </w:rPr>
        <w:t xml:space="preserve">civilian </w:t>
      </w:r>
      <w:r w:rsidR="00F83961">
        <w:rPr>
          <w:bCs/>
          <w:iCs/>
        </w:rPr>
        <w:t xml:space="preserve">pilot </w:t>
      </w:r>
      <w:r w:rsidRPr="001F1D6A">
        <w:rPr>
          <w:bCs/>
          <w:iCs/>
        </w:rPr>
        <w:t xml:space="preserve">population.  </w:t>
      </w:r>
      <w:r w:rsidR="005C514C">
        <w:rPr>
          <w:bCs/>
          <w:iCs/>
        </w:rPr>
        <w:t>The</w:t>
      </w:r>
      <w:r w:rsidR="00F83961">
        <w:rPr>
          <w:bCs/>
          <w:iCs/>
        </w:rPr>
        <w:t>se</w:t>
      </w:r>
      <w:r w:rsidR="005C514C">
        <w:rPr>
          <w:bCs/>
          <w:iCs/>
        </w:rPr>
        <w:t xml:space="preserve"> control force requirements</w:t>
      </w:r>
      <w:r w:rsidR="00F83961">
        <w:rPr>
          <w:bCs/>
          <w:iCs/>
        </w:rPr>
        <w:t>,</w:t>
      </w:r>
      <w:r w:rsidR="005C514C">
        <w:rPr>
          <w:bCs/>
          <w:iCs/>
        </w:rPr>
        <w:t xml:space="preserve"> as original</w:t>
      </w:r>
      <w:r w:rsidR="00514D13">
        <w:rPr>
          <w:bCs/>
          <w:iCs/>
        </w:rPr>
        <w:t>l</w:t>
      </w:r>
      <w:r w:rsidR="005C514C">
        <w:rPr>
          <w:bCs/>
          <w:iCs/>
        </w:rPr>
        <w:t>y adopted and published</w:t>
      </w:r>
      <w:r w:rsidR="00514D13">
        <w:rPr>
          <w:bCs/>
          <w:iCs/>
        </w:rPr>
        <w:t xml:space="preserve"> as</w:t>
      </w:r>
      <w:r w:rsidR="00F25CE7">
        <w:rPr>
          <w:bCs/>
          <w:iCs/>
        </w:rPr>
        <w:t xml:space="preserve"> Civil Aviation Regulations</w:t>
      </w:r>
      <w:r w:rsidR="00F23339">
        <w:rPr>
          <w:bCs/>
          <w:iCs/>
        </w:rPr>
        <w:t xml:space="preserve"> </w:t>
      </w:r>
      <w:r w:rsidR="00F25CE7">
        <w:rPr>
          <w:bCs/>
          <w:iCs/>
        </w:rPr>
        <w:t>(CAR)</w:t>
      </w:r>
      <w:r w:rsidR="00ED3D9C">
        <w:rPr>
          <w:bCs/>
          <w:iCs/>
        </w:rPr>
        <w:t xml:space="preserve"> </w:t>
      </w:r>
      <w:r w:rsidR="00DA232A">
        <w:rPr>
          <w:bCs/>
          <w:iCs/>
        </w:rPr>
        <w:t>§4b.130</w:t>
      </w:r>
      <w:r w:rsidR="00F25CE7">
        <w:rPr>
          <w:bCs/>
          <w:iCs/>
        </w:rPr>
        <w:t xml:space="preserve"> in the 1950’s and subsequently </w:t>
      </w:r>
      <w:r w:rsidR="006E7FC6">
        <w:rPr>
          <w:bCs/>
          <w:iCs/>
        </w:rPr>
        <w:t>converted to</w:t>
      </w:r>
      <w:r w:rsidR="00514D13">
        <w:rPr>
          <w:bCs/>
          <w:iCs/>
        </w:rPr>
        <w:t xml:space="preserve"> Federal Avi</w:t>
      </w:r>
      <w:r w:rsidR="005C514C">
        <w:rPr>
          <w:bCs/>
          <w:iCs/>
        </w:rPr>
        <w:t>ation Regulations</w:t>
      </w:r>
      <w:r w:rsidR="00F70C5C">
        <w:rPr>
          <w:bCs/>
          <w:iCs/>
        </w:rPr>
        <w:t xml:space="preserve"> under 14CFR </w:t>
      </w:r>
      <w:r w:rsidR="00DA232A">
        <w:rPr>
          <w:bCs/>
          <w:iCs/>
        </w:rPr>
        <w:t>§</w:t>
      </w:r>
      <w:r w:rsidR="00F70C5C">
        <w:rPr>
          <w:bCs/>
          <w:iCs/>
        </w:rPr>
        <w:t>25.</w:t>
      </w:r>
      <w:r w:rsidR="005C41D9">
        <w:rPr>
          <w:bCs/>
          <w:iCs/>
        </w:rPr>
        <w:t>143</w:t>
      </w:r>
      <w:r w:rsidR="005C514C">
        <w:rPr>
          <w:bCs/>
          <w:iCs/>
        </w:rPr>
        <w:t xml:space="preserve"> in </w:t>
      </w:r>
      <w:r w:rsidR="0092112C">
        <w:rPr>
          <w:bCs/>
          <w:iCs/>
        </w:rPr>
        <w:t>the 1960’s</w:t>
      </w:r>
      <w:r w:rsidR="005C514C">
        <w:rPr>
          <w:bCs/>
          <w:iCs/>
        </w:rPr>
        <w:t xml:space="preserve">, have not changed in over a half of a century other than two </w:t>
      </w:r>
      <w:r w:rsidRPr="001F1D6A">
        <w:rPr>
          <w:bCs/>
          <w:iCs/>
        </w:rPr>
        <w:t>adjustments</w:t>
      </w:r>
      <w:r w:rsidR="0092112C">
        <w:rPr>
          <w:bCs/>
          <w:iCs/>
        </w:rPr>
        <w:t>,</w:t>
      </w:r>
      <w:r w:rsidR="00514D13" w:rsidRPr="001F1D6A">
        <w:rPr>
          <w:bCs/>
          <w:iCs/>
        </w:rPr>
        <w:t xml:space="preserve"> even though the </w:t>
      </w:r>
      <w:r w:rsidR="006373CF">
        <w:rPr>
          <w:bCs/>
          <w:iCs/>
        </w:rPr>
        <w:t>civilian</w:t>
      </w:r>
      <w:r w:rsidR="00514D13" w:rsidRPr="001F1D6A">
        <w:rPr>
          <w:bCs/>
          <w:iCs/>
        </w:rPr>
        <w:t xml:space="preserve"> population demographic has </w:t>
      </w:r>
      <w:r w:rsidR="00023381">
        <w:rPr>
          <w:bCs/>
          <w:iCs/>
        </w:rPr>
        <w:t xml:space="preserve">evolved </w:t>
      </w:r>
      <w:r w:rsidR="00514D13" w:rsidRPr="001F1D6A">
        <w:rPr>
          <w:bCs/>
          <w:iCs/>
        </w:rPr>
        <w:t>considerably.</w:t>
      </w:r>
      <w:r w:rsidR="00514D13">
        <w:rPr>
          <w:bCs/>
          <w:iCs/>
        </w:rPr>
        <w:t xml:space="preserve"> In</w:t>
      </w:r>
      <w:r w:rsidRPr="001F1D6A">
        <w:rPr>
          <w:bCs/>
          <w:iCs/>
        </w:rPr>
        <w:t xml:space="preserve"> 1978</w:t>
      </w:r>
      <w:r w:rsidR="005C41D9">
        <w:rPr>
          <w:bCs/>
          <w:iCs/>
        </w:rPr>
        <w:t>,</w:t>
      </w:r>
      <w:r w:rsidR="00514D13">
        <w:rPr>
          <w:bCs/>
          <w:iCs/>
        </w:rPr>
        <w:t xml:space="preserve"> the yaw (rudder) maximum control force under 14CFR </w:t>
      </w:r>
      <w:r w:rsidR="006E7FC6">
        <w:rPr>
          <w:bCs/>
          <w:iCs/>
        </w:rPr>
        <w:t>§</w:t>
      </w:r>
      <w:r w:rsidR="00514D13">
        <w:rPr>
          <w:bCs/>
          <w:iCs/>
        </w:rPr>
        <w:t xml:space="preserve">25.143(c) </w:t>
      </w:r>
      <w:r w:rsidR="00896F22">
        <w:rPr>
          <w:bCs/>
          <w:iCs/>
        </w:rPr>
        <w:t>Amendment 25-42</w:t>
      </w:r>
      <w:r w:rsidR="008B29EC">
        <w:rPr>
          <w:rStyle w:val="EndnoteReference"/>
          <w:bCs/>
          <w:iCs/>
        </w:rPr>
        <w:endnoteReference w:id="2"/>
      </w:r>
      <w:r w:rsidR="00514D13" w:rsidRPr="001F1D6A">
        <w:rPr>
          <w:bCs/>
          <w:iCs/>
        </w:rPr>
        <w:t xml:space="preserve">  </w:t>
      </w:r>
      <w:r w:rsidR="00514D13">
        <w:rPr>
          <w:bCs/>
          <w:iCs/>
        </w:rPr>
        <w:t xml:space="preserve"> was changed from 180 </w:t>
      </w:r>
      <w:proofErr w:type="spellStart"/>
      <w:r w:rsidR="00514D13">
        <w:rPr>
          <w:bCs/>
          <w:iCs/>
        </w:rPr>
        <w:t>lbs</w:t>
      </w:r>
      <w:proofErr w:type="spellEnd"/>
      <w:r w:rsidR="00514D13">
        <w:rPr>
          <w:bCs/>
          <w:iCs/>
        </w:rPr>
        <w:t xml:space="preserve"> to 150 </w:t>
      </w:r>
      <w:proofErr w:type="spellStart"/>
      <w:r w:rsidR="00514D13">
        <w:rPr>
          <w:bCs/>
          <w:iCs/>
        </w:rPr>
        <w:t>lbs</w:t>
      </w:r>
      <w:proofErr w:type="spellEnd"/>
      <w:r w:rsidR="00277AC4">
        <w:rPr>
          <w:bCs/>
          <w:iCs/>
        </w:rPr>
        <w:t xml:space="preserve"> (667 N</w:t>
      </w:r>
      <w:r w:rsidR="001C0C5F">
        <w:rPr>
          <w:bCs/>
          <w:iCs/>
        </w:rPr>
        <w:t>)</w:t>
      </w:r>
      <w:r w:rsidR="002F2967">
        <w:rPr>
          <w:bCs/>
          <w:iCs/>
        </w:rPr>
        <w:t>.</w:t>
      </w:r>
      <w:r w:rsidR="00514D13">
        <w:rPr>
          <w:bCs/>
          <w:iCs/>
        </w:rPr>
        <w:t xml:space="preserve"> based on flight test experience that had</w:t>
      </w:r>
      <w:r w:rsidR="00514D13" w:rsidRPr="00514D13">
        <w:rPr>
          <w:bCs/>
          <w:iCs/>
        </w:rPr>
        <w:t xml:space="preserve"> shown that 180 pounds may make control difficult for some pilots under some flight conditions</w:t>
      </w:r>
      <w:r w:rsidR="00514D13">
        <w:rPr>
          <w:bCs/>
          <w:iCs/>
        </w:rPr>
        <w:t>.</w:t>
      </w:r>
      <w:r w:rsidR="00514D13" w:rsidRPr="00514D13">
        <w:rPr>
          <w:bCs/>
          <w:iCs/>
        </w:rPr>
        <w:t xml:space="preserve"> </w:t>
      </w:r>
      <w:r w:rsidR="00230466">
        <w:rPr>
          <w:bCs/>
          <w:iCs/>
        </w:rPr>
        <w:t>Seventeen</w:t>
      </w:r>
      <w:r w:rsidR="00514D13">
        <w:rPr>
          <w:bCs/>
          <w:iCs/>
        </w:rPr>
        <w:t xml:space="preserve"> years later the roll maximum control force</w:t>
      </w:r>
      <w:r w:rsidR="0092112C">
        <w:rPr>
          <w:bCs/>
          <w:iCs/>
        </w:rPr>
        <w:t xml:space="preserve"> under 14 CFR §</w:t>
      </w:r>
      <w:r w:rsidR="0092112C" w:rsidRPr="005910B2">
        <w:rPr>
          <w:bCs/>
          <w:iCs/>
        </w:rPr>
        <w:t>25</w:t>
      </w:r>
      <w:r w:rsidR="00514D13" w:rsidRPr="005910B2">
        <w:rPr>
          <w:bCs/>
          <w:iCs/>
        </w:rPr>
        <w:t>.143(c)   Amendment 2</w:t>
      </w:r>
      <w:r w:rsidR="0092112C" w:rsidRPr="005910B2">
        <w:rPr>
          <w:bCs/>
          <w:iCs/>
        </w:rPr>
        <w:t>5-84</w:t>
      </w:r>
      <w:r w:rsidR="008B29EC" w:rsidRPr="005910B2">
        <w:rPr>
          <w:rStyle w:val="EndnoteReference"/>
          <w:bCs/>
          <w:iCs/>
        </w:rPr>
        <w:endnoteReference w:id="3"/>
      </w:r>
      <w:r w:rsidR="00514D13" w:rsidRPr="005910B2">
        <w:rPr>
          <w:bCs/>
          <w:iCs/>
        </w:rPr>
        <w:t xml:space="preserve">   was changed </w:t>
      </w:r>
      <w:r w:rsidR="001C0C5F" w:rsidRPr="005910B2">
        <w:rPr>
          <w:bCs/>
          <w:iCs/>
        </w:rPr>
        <w:t xml:space="preserve">from 60 </w:t>
      </w:r>
      <w:proofErr w:type="spellStart"/>
      <w:r w:rsidR="00277AC4" w:rsidRPr="005910B2">
        <w:rPr>
          <w:bCs/>
          <w:iCs/>
        </w:rPr>
        <w:t>lbs</w:t>
      </w:r>
      <w:proofErr w:type="spellEnd"/>
      <w:r w:rsidR="00277AC4" w:rsidRPr="005910B2">
        <w:rPr>
          <w:bCs/>
          <w:iCs/>
        </w:rPr>
        <w:t xml:space="preserve"> to 50 </w:t>
      </w:r>
      <w:proofErr w:type="spellStart"/>
      <w:r w:rsidR="00277AC4" w:rsidRPr="005910B2">
        <w:rPr>
          <w:bCs/>
          <w:iCs/>
        </w:rPr>
        <w:t>lbs</w:t>
      </w:r>
      <w:proofErr w:type="spellEnd"/>
      <w:r w:rsidR="00277AC4" w:rsidRPr="005910B2">
        <w:rPr>
          <w:bCs/>
          <w:iCs/>
        </w:rPr>
        <w:t xml:space="preserve"> (222 N</w:t>
      </w:r>
      <w:r w:rsidR="001C0C5F" w:rsidRPr="005910B2">
        <w:rPr>
          <w:bCs/>
          <w:iCs/>
        </w:rPr>
        <w:t>)</w:t>
      </w:r>
      <w:r w:rsidR="00FE1BAC">
        <w:rPr>
          <w:bCs/>
          <w:iCs/>
        </w:rPr>
        <w:t>,</w:t>
      </w:r>
      <w:r w:rsidR="00DF05C6" w:rsidRPr="005910B2">
        <w:rPr>
          <w:bCs/>
          <w:iCs/>
        </w:rPr>
        <w:t xml:space="preserve"> and pitch and roll limits of 50 </w:t>
      </w:r>
      <w:proofErr w:type="spellStart"/>
      <w:r w:rsidR="00DF05C6" w:rsidRPr="005910B2">
        <w:rPr>
          <w:bCs/>
          <w:iCs/>
        </w:rPr>
        <w:t>lbs</w:t>
      </w:r>
      <w:proofErr w:type="spellEnd"/>
      <w:r w:rsidR="00DF05C6" w:rsidRPr="005910B2">
        <w:rPr>
          <w:bCs/>
          <w:iCs/>
        </w:rPr>
        <w:t xml:space="preserve"> and 25 </w:t>
      </w:r>
      <w:proofErr w:type="spellStart"/>
      <w:r w:rsidR="00DF05C6" w:rsidRPr="005910B2">
        <w:rPr>
          <w:bCs/>
          <w:iCs/>
        </w:rPr>
        <w:t>lbs</w:t>
      </w:r>
      <w:proofErr w:type="spellEnd"/>
      <w:r w:rsidR="00DF05C6" w:rsidRPr="005910B2">
        <w:rPr>
          <w:bCs/>
          <w:iCs/>
        </w:rPr>
        <w:t xml:space="preserve"> respectively were added </w:t>
      </w:r>
      <w:r w:rsidR="00FE1BAC">
        <w:rPr>
          <w:bCs/>
          <w:iCs/>
        </w:rPr>
        <w:t>to distinguish between long term</w:t>
      </w:r>
      <w:r w:rsidR="00C16F81">
        <w:rPr>
          <w:bCs/>
          <w:iCs/>
        </w:rPr>
        <w:t xml:space="preserve"> and short</w:t>
      </w:r>
      <w:r w:rsidR="00FE1BAC">
        <w:rPr>
          <w:bCs/>
          <w:iCs/>
        </w:rPr>
        <w:t xml:space="preserve"> </w:t>
      </w:r>
      <w:r w:rsidR="00DF05C6" w:rsidRPr="005910B2">
        <w:rPr>
          <w:bCs/>
          <w:iCs/>
        </w:rPr>
        <w:t>application with</w:t>
      </w:r>
      <w:r w:rsidR="00977777">
        <w:rPr>
          <w:bCs/>
          <w:iCs/>
        </w:rPr>
        <w:t xml:space="preserve"> only one hand available for control</w:t>
      </w:r>
      <w:r w:rsidR="001656BB">
        <w:rPr>
          <w:bCs/>
          <w:iCs/>
        </w:rPr>
        <w:t xml:space="preserve">. </w:t>
      </w:r>
      <w:r w:rsidR="005910B2" w:rsidRPr="005910B2">
        <w:t>Interspersed throughout the regulations is the requirement to not require exceptional pilot strength to perform a wide variety of ground and flight maneuvers. However</w:t>
      </w:r>
      <w:r w:rsidR="005910B2">
        <w:t>,</w:t>
      </w:r>
      <w:r w:rsidR="005910B2" w:rsidRPr="005910B2">
        <w:t xml:space="preserve"> the term “exceptional strength” is not defined, although some of the guidance in FAA Advisory Circulars</w:t>
      </w:r>
      <w:r w:rsidR="00977777">
        <w:t xml:space="preserve"> (AC)</w:t>
      </w:r>
      <w:r w:rsidR="005910B2" w:rsidRPr="005910B2">
        <w:t xml:space="preserve"> and EASA A</w:t>
      </w:r>
      <w:r w:rsidR="00977777">
        <w:t>cceptable Means of Compliance (AMC)</w:t>
      </w:r>
      <w:r w:rsidR="005910B2" w:rsidRPr="005910B2">
        <w:t xml:space="preserve"> appear to point to the quantitative values specified in the regulation for pilot flight control force</w:t>
      </w:r>
      <w:r w:rsidR="00977777">
        <w:t>.</w:t>
      </w:r>
      <w:r w:rsidR="00732881" w:rsidRPr="005910B2">
        <w:rPr>
          <w:bCs/>
          <w:iCs/>
        </w:rPr>
        <w:t xml:space="preserve"> </w:t>
      </w:r>
      <w:r w:rsidR="003B7367" w:rsidRPr="005910B2">
        <w:rPr>
          <w:bCs/>
          <w:iCs/>
        </w:rPr>
        <w:t>Furthermore, new cockpit flight control inceptors</w:t>
      </w:r>
      <w:r w:rsidR="00D239B4" w:rsidRPr="005910B2">
        <w:rPr>
          <w:rStyle w:val="EndnoteReference"/>
          <w:bCs/>
          <w:iCs/>
        </w:rPr>
        <w:endnoteReference w:id="4"/>
      </w:r>
      <w:r w:rsidR="005C41D9">
        <w:rPr>
          <w:bCs/>
          <w:iCs/>
        </w:rPr>
        <w:t xml:space="preserve"> have been i</w:t>
      </w:r>
      <w:r w:rsidR="003B7367" w:rsidRPr="005910B2">
        <w:rPr>
          <w:bCs/>
          <w:iCs/>
        </w:rPr>
        <w:t xml:space="preserve">ncorporated in most modern aircraft (e.g. side-sticks), beyond those specified in the tables of maximum allowable control forces as published in current regulations.   </w:t>
      </w:r>
    </w:p>
    <w:p w14:paraId="29A5133F" w14:textId="77777777" w:rsidR="00A3510A" w:rsidRPr="005910B2" w:rsidRDefault="00A3510A" w:rsidP="002F2967">
      <w:pPr>
        <w:rPr>
          <w:bCs/>
          <w:iCs/>
        </w:rPr>
      </w:pPr>
    </w:p>
    <w:p w14:paraId="3CE02AAF" w14:textId="77777777" w:rsidR="00A3510A" w:rsidRPr="00FE1BAC" w:rsidRDefault="00A3510A" w:rsidP="00A3510A">
      <w:pPr>
        <w:rPr>
          <w:bCs/>
          <w:i/>
          <w:iCs/>
        </w:rPr>
      </w:pPr>
      <w:r w:rsidRPr="00FE1BAC">
        <w:rPr>
          <w:bCs/>
          <w:i/>
          <w:iCs/>
        </w:rPr>
        <w:t>Table 1</w:t>
      </w:r>
    </w:p>
    <w:p w14:paraId="7ED24A65" w14:textId="77777777" w:rsidR="00A3510A" w:rsidRDefault="00A3510A" w:rsidP="00A3510A">
      <w:pPr>
        <w:rPr>
          <w:bCs/>
          <w:iCs/>
        </w:rPr>
      </w:pPr>
      <w:r>
        <w:rPr>
          <w:bCs/>
          <w:iCs/>
        </w:rPr>
        <w:t xml:space="preserve">Maximum Control Force for a Part 25 Transport Category Airplane-14CFR </w:t>
      </w:r>
      <w:r w:rsidR="00FE1BAC">
        <w:rPr>
          <w:bCs/>
          <w:iCs/>
        </w:rPr>
        <w:t>§</w:t>
      </w:r>
      <w:r>
        <w:rPr>
          <w:bCs/>
          <w:iCs/>
        </w:rPr>
        <w:t>25.143(d)</w:t>
      </w:r>
      <w:r w:rsidR="001656BB">
        <w:rPr>
          <w:bCs/>
          <w:iCs/>
        </w:rPr>
        <w:t xml:space="preserve"> and C.S. §25.143(d)</w:t>
      </w:r>
    </w:p>
    <w:p w14:paraId="647D0830" w14:textId="77777777" w:rsidR="00C77A2D" w:rsidRPr="005910B2" w:rsidRDefault="00C77A2D" w:rsidP="002F2967">
      <w:pPr>
        <w:rPr>
          <w:bCs/>
          <w:iCs/>
        </w:rPr>
      </w:pPr>
    </w:p>
    <w:tbl>
      <w:tblPr>
        <w:tblStyle w:val="TableGrid"/>
        <w:tblW w:w="0" w:type="auto"/>
        <w:tblLook w:val="04A0" w:firstRow="1" w:lastRow="0" w:firstColumn="1" w:lastColumn="0" w:noHBand="0" w:noVBand="1"/>
      </w:tblPr>
      <w:tblGrid>
        <w:gridCol w:w="6850"/>
        <w:gridCol w:w="900"/>
        <w:gridCol w:w="850"/>
        <w:gridCol w:w="750"/>
      </w:tblGrid>
      <w:tr w:rsidR="001656BB" w14:paraId="258C0043" w14:textId="77777777" w:rsidTr="001656BB">
        <w:tc>
          <w:tcPr>
            <w:tcW w:w="7015" w:type="dxa"/>
          </w:tcPr>
          <w:p w14:paraId="2BB01140" w14:textId="77777777" w:rsidR="00977777" w:rsidRDefault="001656BB" w:rsidP="002F2967">
            <w:pPr>
              <w:rPr>
                <w:bCs/>
                <w:iCs/>
              </w:rPr>
            </w:pPr>
            <w:r>
              <w:rPr>
                <w:bCs/>
                <w:iCs/>
              </w:rPr>
              <w:t>Force pounds (</w:t>
            </w:r>
            <w:proofErr w:type="spellStart"/>
            <w:r>
              <w:rPr>
                <w:bCs/>
                <w:iCs/>
              </w:rPr>
              <w:t>newtons</w:t>
            </w:r>
            <w:proofErr w:type="spellEnd"/>
            <w:r>
              <w:rPr>
                <w:bCs/>
                <w:iCs/>
              </w:rPr>
              <w:t>)</w:t>
            </w:r>
            <w:r w:rsidR="00977777">
              <w:rPr>
                <w:bCs/>
                <w:iCs/>
              </w:rPr>
              <w:t xml:space="preserve"> applied to the control wheel or rudder pedals</w:t>
            </w:r>
          </w:p>
        </w:tc>
        <w:tc>
          <w:tcPr>
            <w:tcW w:w="735" w:type="dxa"/>
          </w:tcPr>
          <w:p w14:paraId="1C9288BD" w14:textId="77777777" w:rsidR="00977777" w:rsidRDefault="00977777" w:rsidP="00A3510A">
            <w:pPr>
              <w:jc w:val="center"/>
              <w:rPr>
                <w:bCs/>
                <w:iCs/>
              </w:rPr>
            </w:pPr>
            <w:r>
              <w:rPr>
                <w:bCs/>
                <w:iCs/>
              </w:rPr>
              <w:t>Pitch</w:t>
            </w:r>
          </w:p>
        </w:tc>
        <w:tc>
          <w:tcPr>
            <w:tcW w:w="850" w:type="dxa"/>
          </w:tcPr>
          <w:p w14:paraId="3C946EE3" w14:textId="77777777" w:rsidR="00977777" w:rsidRDefault="00977777" w:rsidP="00A3510A">
            <w:pPr>
              <w:jc w:val="center"/>
              <w:rPr>
                <w:bCs/>
                <w:iCs/>
              </w:rPr>
            </w:pPr>
            <w:r>
              <w:rPr>
                <w:bCs/>
                <w:iCs/>
              </w:rPr>
              <w:t>Roll</w:t>
            </w:r>
          </w:p>
        </w:tc>
        <w:tc>
          <w:tcPr>
            <w:tcW w:w="750" w:type="dxa"/>
          </w:tcPr>
          <w:p w14:paraId="256EC518" w14:textId="77777777" w:rsidR="00977777" w:rsidRDefault="00977777" w:rsidP="00A3510A">
            <w:pPr>
              <w:jc w:val="center"/>
              <w:rPr>
                <w:bCs/>
                <w:iCs/>
              </w:rPr>
            </w:pPr>
            <w:r>
              <w:rPr>
                <w:bCs/>
                <w:iCs/>
              </w:rPr>
              <w:t>Yaw</w:t>
            </w:r>
          </w:p>
        </w:tc>
      </w:tr>
      <w:tr w:rsidR="001656BB" w14:paraId="3B36C482" w14:textId="77777777" w:rsidTr="001656BB">
        <w:tc>
          <w:tcPr>
            <w:tcW w:w="7015" w:type="dxa"/>
          </w:tcPr>
          <w:p w14:paraId="06F2DC51" w14:textId="77777777" w:rsidR="00977777" w:rsidRDefault="00A3510A" w:rsidP="002F2967">
            <w:pPr>
              <w:rPr>
                <w:bCs/>
                <w:iCs/>
              </w:rPr>
            </w:pPr>
            <w:r>
              <w:rPr>
                <w:bCs/>
                <w:iCs/>
              </w:rPr>
              <w:t xml:space="preserve">For Short Term </w:t>
            </w:r>
            <w:proofErr w:type="spellStart"/>
            <w:r>
              <w:rPr>
                <w:bCs/>
                <w:iCs/>
              </w:rPr>
              <w:t>Application</w:t>
            </w:r>
            <w:r w:rsidR="008872D5">
              <w:rPr>
                <w:bCs/>
                <w:iCs/>
                <w:vertAlign w:val="superscript"/>
              </w:rPr>
              <w:t>a</w:t>
            </w:r>
            <w:proofErr w:type="spellEnd"/>
            <w:r>
              <w:rPr>
                <w:bCs/>
                <w:iCs/>
              </w:rPr>
              <w:t xml:space="preserve"> for pitch and roll control-two hands available for control</w:t>
            </w:r>
          </w:p>
        </w:tc>
        <w:tc>
          <w:tcPr>
            <w:tcW w:w="735" w:type="dxa"/>
          </w:tcPr>
          <w:p w14:paraId="2DFAB7F7" w14:textId="77777777" w:rsidR="00977777" w:rsidRDefault="00977777" w:rsidP="00A3510A">
            <w:pPr>
              <w:jc w:val="center"/>
              <w:rPr>
                <w:bCs/>
                <w:iCs/>
              </w:rPr>
            </w:pPr>
            <w:r>
              <w:rPr>
                <w:bCs/>
                <w:iCs/>
              </w:rPr>
              <w:t>75</w:t>
            </w:r>
            <w:r w:rsidR="001656BB">
              <w:rPr>
                <w:bCs/>
                <w:iCs/>
              </w:rPr>
              <w:t>(334)</w:t>
            </w:r>
          </w:p>
        </w:tc>
        <w:tc>
          <w:tcPr>
            <w:tcW w:w="850" w:type="dxa"/>
          </w:tcPr>
          <w:p w14:paraId="06703C7A" w14:textId="77777777" w:rsidR="00977777" w:rsidRDefault="00977777" w:rsidP="00A3510A">
            <w:pPr>
              <w:jc w:val="center"/>
              <w:rPr>
                <w:bCs/>
                <w:iCs/>
              </w:rPr>
            </w:pPr>
            <w:r>
              <w:rPr>
                <w:bCs/>
                <w:iCs/>
              </w:rPr>
              <w:t>50</w:t>
            </w:r>
            <w:r w:rsidR="001656BB">
              <w:rPr>
                <w:bCs/>
                <w:iCs/>
              </w:rPr>
              <w:t>(222)</w:t>
            </w:r>
          </w:p>
        </w:tc>
        <w:tc>
          <w:tcPr>
            <w:tcW w:w="750" w:type="dxa"/>
          </w:tcPr>
          <w:p w14:paraId="1ACCBB36" w14:textId="77777777" w:rsidR="00977777" w:rsidRDefault="00A3510A" w:rsidP="00A3510A">
            <w:pPr>
              <w:jc w:val="center"/>
              <w:rPr>
                <w:bCs/>
                <w:iCs/>
              </w:rPr>
            </w:pPr>
            <w:r>
              <w:rPr>
                <w:bCs/>
                <w:iCs/>
              </w:rPr>
              <w:t>------</w:t>
            </w:r>
          </w:p>
        </w:tc>
      </w:tr>
      <w:tr w:rsidR="001656BB" w14:paraId="43891117" w14:textId="77777777" w:rsidTr="001656BB">
        <w:tc>
          <w:tcPr>
            <w:tcW w:w="7015" w:type="dxa"/>
          </w:tcPr>
          <w:p w14:paraId="3F1D8A6A" w14:textId="77777777" w:rsidR="00A3510A" w:rsidRDefault="00A3510A" w:rsidP="00A3510A">
            <w:pPr>
              <w:rPr>
                <w:bCs/>
                <w:iCs/>
              </w:rPr>
            </w:pPr>
            <w:r>
              <w:rPr>
                <w:bCs/>
                <w:iCs/>
              </w:rPr>
              <w:t xml:space="preserve">For Short Term </w:t>
            </w:r>
            <w:proofErr w:type="spellStart"/>
            <w:r>
              <w:rPr>
                <w:bCs/>
                <w:iCs/>
              </w:rPr>
              <w:t>Application</w:t>
            </w:r>
            <w:r w:rsidR="008872D5">
              <w:rPr>
                <w:bCs/>
                <w:iCs/>
                <w:vertAlign w:val="superscript"/>
              </w:rPr>
              <w:t>a</w:t>
            </w:r>
            <w:proofErr w:type="spellEnd"/>
            <w:r>
              <w:rPr>
                <w:bCs/>
                <w:iCs/>
              </w:rPr>
              <w:t xml:space="preserve"> for pitch and roll control-one hand available for control</w:t>
            </w:r>
          </w:p>
        </w:tc>
        <w:tc>
          <w:tcPr>
            <w:tcW w:w="735" w:type="dxa"/>
          </w:tcPr>
          <w:p w14:paraId="6B53E084" w14:textId="77777777" w:rsidR="00A3510A" w:rsidRDefault="00A3510A" w:rsidP="00A3510A">
            <w:pPr>
              <w:jc w:val="center"/>
              <w:rPr>
                <w:bCs/>
                <w:iCs/>
              </w:rPr>
            </w:pPr>
            <w:r>
              <w:rPr>
                <w:bCs/>
                <w:iCs/>
              </w:rPr>
              <w:t>50</w:t>
            </w:r>
            <w:r w:rsidR="001656BB">
              <w:rPr>
                <w:bCs/>
                <w:iCs/>
              </w:rPr>
              <w:t>(222)</w:t>
            </w:r>
          </w:p>
        </w:tc>
        <w:tc>
          <w:tcPr>
            <w:tcW w:w="850" w:type="dxa"/>
          </w:tcPr>
          <w:p w14:paraId="0BD92A42" w14:textId="77777777" w:rsidR="00A3510A" w:rsidRDefault="00A3510A" w:rsidP="00A3510A">
            <w:pPr>
              <w:jc w:val="center"/>
              <w:rPr>
                <w:bCs/>
                <w:iCs/>
              </w:rPr>
            </w:pPr>
            <w:r>
              <w:rPr>
                <w:bCs/>
                <w:iCs/>
              </w:rPr>
              <w:t>25</w:t>
            </w:r>
            <w:r w:rsidR="001656BB">
              <w:rPr>
                <w:bCs/>
                <w:iCs/>
              </w:rPr>
              <w:t>(111)</w:t>
            </w:r>
          </w:p>
        </w:tc>
        <w:tc>
          <w:tcPr>
            <w:tcW w:w="750" w:type="dxa"/>
          </w:tcPr>
          <w:p w14:paraId="2536D4A9" w14:textId="77777777" w:rsidR="00A3510A" w:rsidRDefault="00A3510A" w:rsidP="00A3510A">
            <w:pPr>
              <w:jc w:val="center"/>
              <w:rPr>
                <w:bCs/>
                <w:iCs/>
              </w:rPr>
            </w:pPr>
            <w:r>
              <w:rPr>
                <w:bCs/>
                <w:iCs/>
              </w:rPr>
              <w:t>------</w:t>
            </w:r>
          </w:p>
        </w:tc>
      </w:tr>
      <w:tr w:rsidR="00A3510A" w14:paraId="02F07AB1" w14:textId="77777777" w:rsidTr="001656BB">
        <w:tc>
          <w:tcPr>
            <w:tcW w:w="7015" w:type="dxa"/>
          </w:tcPr>
          <w:p w14:paraId="7C6173F2" w14:textId="77777777" w:rsidR="00A3510A" w:rsidRDefault="00A3510A" w:rsidP="00A3510A">
            <w:pPr>
              <w:rPr>
                <w:bCs/>
                <w:iCs/>
              </w:rPr>
            </w:pPr>
            <w:r>
              <w:rPr>
                <w:bCs/>
                <w:iCs/>
              </w:rPr>
              <w:t xml:space="preserve">For Short Term </w:t>
            </w:r>
            <w:proofErr w:type="spellStart"/>
            <w:r>
              <w:rPr>
                <w:bCs/>
                <w:iCs/>
              </w:rPr>
              <w:t>Application</w:t>
            </w:r>
            <w:r w:rsidR="008872D5">
              <w:rPr>
                <w:bCs/>
                <w:iCs/>
                <w:vertAlign w:val="superscript"/>
              </w:rPr>
              <w:t>a</w:t>
            </w:r>
            <w:proofErr w:type="spellEnd"/>
            <w:r>
              <w:rPr>
                <w:bCs/>
                <w:iCs/>
              </w:rPr>
              <w:t xml:space="preserve"> for yaw control</w:t>
            </w:r>
          </w:p>
        </w:tc>
        <w:tc>
          <w:tcPr>
            <w:tcW w:w="735" w:type="dxa"/>
          </w:tcPr>
          <w:p w14:paraId="41AA0DE4" w14:textId="77777777" w:rsidR="00A3510A" w:rsidRDefault="00A3510A" w:rsidP="00A3510A">
            <w:pPr>
              <w:jc w:val="center"/>
              <w:rPr>
                <w:bCs/>
                <w:iCs/>
              </w:rPr>
            </w:pPr>
            <w:r>
              <w:rPr>
                <w:bCs/>
                <w:iCs/>
              </w:rPr>
              <w:t>------</w:t>
            </w:r>
          </w:p>
        </w:tc>
        <w:tc>
          <w:tcPr>
            <w:tcW w:w="850" w:type="dxa"/>
          </w:tcPr>
          <w:p w14:paraId="33E3AAC9" w14:textId="77777777" w:rsidR="00A3510A" w:rsidRDefault="00A3510A" w:rsidP="00A3510A">
            <w:pPr>
              <w:jc w:val="center"/>
              <w:rPr>
                <w:bCs/>
                <w:iCs/>
              </w:rPr>
            </w:pPr>
            <w:r>
              <w:rPr>
                <w:bCs/>
                <w:iCs/>
              </w:rPr>
              <w:t>-----</w:t>
            </w:r>
          </w:p>
        </w:tc>
        <w:tc>
          <w:tcPr>
            <w:tcW w:w="750" w:type="dxa"/>
          </w:tcPr>
          <w:p w14:paraId="401BBB62" w14:textId="77777777" w:rsidR="00A3510A" w:rsidRDefault="00A3510A" w:rsidP="00A3510A">
            <w:pPr>
              <w:jc w:val="center"/>
              <w:rPr>
                <w:bCs/>
                <w:iCs/>
              </w:rPr>
            </w:pPr>
            <w:r>
              <w:rPr>
                <w:bCs/>
                <w:iCs/>
              </w:rPr>
              <w:t>150</w:t>
            </w:r>
          </w:p>
        </w:tc>
      </w:tr>
      <w:tr w:rsidR="001656BB" w14:paraId="76A9453E" w14:textId="77777777" w:rsidTr="001656BB">
        <w:tc>
          <w:tcPr>
            <w:tcW w:w="7015" w:type="dxa"/>
          </w:tcPr>
          <w:p w14:paraId="5E9F94D7" w14:textId="77777777" w:rsidR="00A3510A" w:rsidRPr="008872D5" w:rsidRDefault="00A3510A" w:rsidP="00A3510A">
            <w:pPr>
              <w:rPr>
                <w:bCs/>
                <w:iCs/>
                <w:vertAlign w:val="superscript"/>
              </w:rPr>
            </w:pPr>
            <w:r>
              <w:rPr>
                <w:bCs/>
                <w:iCs/>
              </w:rPr>
              <w:t xml:space="preserve">For Long Term </w:t>
            </w:r>
            <w:proofErr w:type="spellStart"/>
            <w:r>
              <w:rPr>
                <w:bCs/>
                <w:iCs/>
              </w:rPr>
              <w:t>Application</w:t>
            </w:r>
            <w:r w:rsidR="008872D5">
              <w:rPr>
                <w:bCs/>
                <w:iCs/>
                <w:vertAlign w:val="superscript"/>
              </w:rPr>
              <w:t>b</w:t>
            </w:r>
            <w:proofErr w:type="spellEnd"/>
          </w:p>
        </w:tc>
        <w:tc>
          <w:tcPr>
            <w:tcW w:w="735" w:type="dxa"/>
          </w:tcPr>
          <w:p w14:paraId="2B1DF352" w14:textId="77777777" w:rsidR="00A3510A" w:rsidRDefault="00A3510A" w:rsidP="00A3510A">
            <w:pPr>
              <w:jc w:val="center"/>
              <w:rPr>
                <w:bCs/>
                <w:iCs/>
              </w:rPr>
            </w:pPr>
            <w:r>
              <w:rPr>
                <w:bCs/>
                <w:iCs/>
              </w:rPr>
              <w:t>10</w:t>
            </w:r>
            <w:r w:rsidR="001656BB">
              <w:rPr>
                <w:bCs/>
                <w:iCs/>
              </w:rPr>
              <w:t>(44.5)</w:t>
            </w:r>
          </w:p>
        </w:tc>
        <w:tc>
          <w:tcPr>
            <w:tcW w:w="850" w:type="dxa"/>
          </w:tcPr>
          <w:p w14:paraId="370C5AE5" w14:textId="77777777" w:rsidR="00A3510A" w:rsidRDefault="00A3510A" w:rsidP="00A3510A">
            <w:pPr>
              <w:jc w:val="center"/>
              <w:rPr>
                <w:bCs/>
                <w:iCs/>
              </w:rPr>
            </w:pPr>
            <w:r>
              <w:rPr>
                <w:bCs/>
                <w:iCs/>
              </w:rPr>
              <w:t>5</w:t>
            </w:r>
            <w:r w:rsidR="001656BB">
              <w:rPr>
                <w:bCs/>
                <w:iCs/>
              </w:rPr>
              <w:t>(22)</w:t>
            </w:r>
          </w:p>
        </w:tc>
        <w:tc>
          <w:tcPr>
            <w:tcW w:w="750" w:type="dxa"/>
          </w:tcPr>
          <w:p w14:paraId="7007CF51" w14:textId="77777777" w:rsidR="00A3510A" w:rsidRDefault="00A3510A" w:rsidP="00A3510A">
            <w:pPr>
              <w:jc w:val="center"/>
              <w:rPr>
                <w:bCs/>
                <w:iCs/>
              </w:rPr>
            </w:pPr>
            <w:r>
              <w:rPr>
                <w:bCs/>
                <w:iCs/>
              </w:rPr>
              <w:t>20</w:t>
            </w:r>
            <w:r w:rsidR="001656BB">
              <w:rPr>
                <w:bCs/>
                <w:iCs/>
              </w:rPr>
              <w:t>(89)</w:t>
            </w:r>
          </w:p>
        </w:tc>
      </w:tr>
    </w:tbl>
    <w:p w14:paraId="56D24E3D" w14:textId="77777777" w:rsidR="00C77A2D" w:rsidRDefault="00C77A2D" w:rsidP="002F2967">
      <w:pPr>
        <w:rPr>
          <w:bCs/>
          <w:iCs/>
        </w:rPr>
      </w:pPr>
    </w:p>
    <w:p w14:paraId="5D105798" w14:textId="77777777" w:rsidR="00ED3D9C" w:rsidRPr="008872D5" w:rsidRDefault="008872D5" w:rsidP="002F2967">
      <w:pPr>
        <w:rPr>
          <w:bCs/>
          <w:iCs/>
        </w:rPr>
      </w:pPr>
      <w:proofErr w:type="spellStart"/>
      <w:r>
        <w:rPr>
          <w:bCs/>
          <w:iCs/>
          <w:vertAlign w:val="superscript"/>
        </w:rPr>
        <w:t>a</w:t>
      </w:r>
      <w:r w:rsidRPr="00C16F81">
        <w:rPr>
          <w:sz w:val="16"/>
          <w:szCs w:val="16"/>
        </w:rPr>
        <w:t>Short</w:t>
      </w:r>
      <w:proofErr w:type="spellEnd"/>
      <w:r w:rsidRPr="00C16F81">
        <w:rPr>
          <w:sz w:val="16"/>
          <w:szCs w:val="16"/>
        </w:rPr>
        <w:t>-term forces are the initial stabilized control forces that result from maintaining the intended flight path following configuration changes and normal transitions from one flight condition to another, or from regaining control following a failure. It is assumed that the pilot will take immediate action to reduce or eliminate such forces by re-trimming or changing configuration or flight conditions, and consequently short-term forces are not considered to exist for any significant duration. They do not include transient force peaks that may occur during the configuration change, change of flight conditions, or recovery of control following a failure</w:t>
      </w:r>
    </w:p>
    <w:p w14:paraId="56FD4F77" w14:textId="77777777" w:rsidR="005910B2" w:rsidRDefault="008872D5" w:rsidP="002F2967">
      <w:pPr>
        <w:rPr>
          <w:sz w:val="16"/>
          <w:szCs w:val="16"/>
        </w:rPr>
      </w:pPr>
      <w:r>
        <w:rPr>
          <w:bCs/>
          <w:iCs/>
          <w:vertAlign w:val="superscript"/>
        </w:rPr>
        <w:t>b</w:t>
      </w:r>
      <w:r w:rsidRPr="008872D5">
        <w:rPr>
          <w:sz w:val="16"/>
          <w:szCs w:val="16"/>
        </w:rPr>
        <w:t xml:space="preserve"> </w:t>
      </w:r>
      <w:r w:rsidRPr="00C16F81">
        <w:rPr>
          <w:sz w:val="16"/>
          <w:szCs w:val="16"/>
        </w:rPr>
        <w:t>Long-term forces are those control forces that result from normal or failure conditions that cannot readily be trimmed out or eliminated.</w:t>
      </w:r>
    </w:p>
    <w:p w14:paraId="4EDE5BA0" w14:textId="77777777" w:rsidR="00966525" w:rsidRPr="008872D5" w:rsidRDefault="00966525" w:rsidP="002F2967">
      <w:pPr>
        <w:rPr>
          <w:bCs/>
          <w:iCs/>
        </w:rPr>
      </w:pPr>
    </w:p>
    <w:p w14:paraId="436DE955" w14:textId="77777777" w:rsidR="006C3E8D" w:rsidRDefault="00ED3D9C" w:rsidP="002F2967">
      <w:pPr>
        <w:rPr>
          <w:bCs/>
          <w:iCs/>
        </w:rPr>
      </w:pPr>
      <w:r>
        <w:rPr>
          <w:bCs/>
          <w:iCs/>
        </w:rPr>
        <w:t>A similar chronology was followed for transport category</w:t>
      </w:r>
      <w:r w:rsidR="00A3510A">
        <w:rPr>
          <w:bCs/>
          <w:iCs/>
        </w:rPr>
        <w:t xml:space="preserve"> Part 29</w:t>
      </w:r>
      <w:r>
        <w:rPr>
          <w:bCs/>
          <w:iCs/>
        </w:rPr>
        <w:t xml:space="preserve"> rotorcraft, whereby the pilot</w:t>
      </w:r>
      <w:r w:rsidR="00502E7D">
        <w:rPr>
          <w:bCs/>
          <w:iCs/>
        </w:rPr>
        <w:t>/limit</w:t>
      </w:r>
      <w:r>
        <w:rPr>
          <w:bCs/>
          <w:iCs/>
        </w:rPr>
        <w:t xml:space="preserve"> control forces</w:t>
      </w:r>
      <w:r w:rsidR="00502E7D">
        <w:rPr>
          <w:rStyle w:val="EndnoteReference"/>
          <w:bCs/>
          <w:iCs/>
        </w:rPr>
        <w:endnoteReference w:id="5"/>
      </w:r>
      <w:r>
        <w:rPr>
          <w:bCs/>
          <w:iCs/>
        </w:rPr>
        <w:t xml:space="preserve"> first published </w:t>
      </w:r>
      <w:r w:rsidR="00F70C5C">
        <w:rPr>
          <w:bCs/>
          <w:iCs/>
        </w:rPr>
        <w:t>under</w:t>
      </w:r>
      <w:r w:rsidR="00DA232A">
        <w:rPr>
          <w:bCs/>
          <w:iCs/>
        </w:rPr>
        <w:t xml:space="preserve"> CAR §7.225 </w:t>
      </w:r>
      <w:r>
        <w:rPr>
          <w:bCs/>
          <w:iCs/>
        </w:rPr>
        <w:t xml:space="preserve"> in the 1950’s and </w:t>
      </w:r>
      <w:r w:rsidR="00F70C5C">
        <w:rPr>
          <w:bCs/>
          <w:iCs/>
        </w:rPr>
        <w:t>subsequently converted to Federal Aviation Regulations</w:t>
      </w:r>
      <w:r w:rsidR="00715AF8">
        <w:rPr>
          <w:bCs/>
          <w:iCs/>
        </w:rPr>
        <w:t xml:space="preserve"> under 14CFR §29.397</w:t>
      </w:r>
      <w:r w:rsidR="00FA71D3">
        <w:rPr>
          <w:bCs/>
          <w:iCs/>
        </w:rPr>
        <w:t xml:space="preserve"> in the 1960’s</w:t>
      </w:r>
      <w:r>
        <w:rPr>
          <w:bCs/>
          <w:iCs/>
        </w:rPr>
        <w:t xml:space="preserve"> have not changed</w:t>
      </w:r>
      <w:r w:rsidR="003B7367">
        <w:rPr>
          <w:bCs/>
          <w:iCs/>
        </w:rPr>
        <w:t>,</w:t>
      </w:r>
      <w:r>
        <w:rPr>
          <w:bCs/>
          <w:iCs/>
        </w:rPr>
        <w:t xml:space="preserve"> other than </w:t>
      </w:r>
      <w:r w:rsidR="00F70C5C">
        <w:rPr>
          <w:bCs/>
          <w:iCs/>
        </w:rPr>
        <w:t xml:space="preserve">in 1977 when 14CFR </w:t>
      </w:r>
      <w:r w:rsidR="00715AF8">
        <w:rPr>
          <w:bCs/>
          <w:iCs/>
        </w:rPr>
        <w:t>§</w:t>
      </w:r>
      <w:r w:rsidR="00F70C5C">
        <w:rPr>
          <w:bCs/>
          <w:iCs/>
        </w:rPr>
        <w:t>29.397 Amendment 29-12</w:t>
      </w:r>
      <w:r w:rsidR="008B29EC">
        <w:rPr>
          <w:rStyle w:val="EndnoteReference"/>
          <w:bCs/>
          <w:iCs/>
        </w:rPr>
        <w:endnoteReference w:id="6"/>
      </w:r>
      <w:r w:rsidR="00F70C5C">
        <w:rPr>
          <w:bCs/>
          <w:iCs/>
        </w:rPr>
        <w:t xml:space="preserve"> deemed</w:t>
      </w:r>
      <w:r>
        <w:rPr>
          <w:bCs/>
          <w:iCs/>
        </w:rPr>
        <w:t xml:space="preserve"> the </w:t>
      </w:r>
      <w:r w:rsidR="00023381">
        <w:rPr>
          <w:bCs/>
          <w:iCs/>
        </w:rPr>
        <w:t xml:space="preserve">term </w:t>
      </w:r>
      <w:r>
        <w:rPr>
          <w:bCs/>
          <w:iCs/>
        </w:rPr>
        <w:t>“control wheel”</w:t>
      </w:r>
      <w:r w:rsidR="00F70C5C">
        <w:rPr>
          <w:bCs/>
          <w:iCs/>
        </w:rPr>
        <w:t xml:space="preserve"> as “unnecessary</w:t>
      </w:r>
      <w:r>
        <w:rPr>
          <w:bCs/>
          <w:iCs/>
        </w:rPr>
        <w:t xml:space="preserve"> </w:t>
      </w:r>
      <w:r w:rsidR="00FA71D3">
        <w:rPr>
          <w:bCs/>
          <w:iCs/>
        </w:rPr>
        <w:t xml:space="preserve"> and also </w:t>
      </w:r>
      <w:r>
        <w:rPr>
          <w:bCs/>
          <w:iCs/>
        </w:rPr>
        <w:t>add</w:t>
      </w:r>
      <w:r w:rsidR="00F70C5C">
        <w:rPr>
          <w:bCs/>
          <w:iCs/>
        </w:rPr>
        <w:t>ed</w:t>
      </w:r>
      <w:r>
        <w:rPr>
          <w:bCs/>
          <w:iCs/>
        </w:rPr>
        <w:t xml:space="preserve"> forces for  “</w:t>
      </w:r>
      <w:r w:rsidR="00F70C5C">
        <w:rPr>
          <w:bCs/>
          <w:iCs/>
        </w:rPr>
        <w:t>s</w:t>
      </w:r>
      <w:r>
        <w:rPr>
          <w:bCs/>
          <w:iCs/>
        </w:rPr>
        <w:t>econdary controls”</w:t>
      </w:r>
      <w:r w:rsidR="00F70C5C">
        <w:rPr>
          <w:bCs/>
          <w:iCs/>
        </w:rPr>
        <w:t xml:space="preserve"> with the explanation that</w:t>
      </w:r>
      <w:r w:rsidR="00FA71D3">
        <w:rPr>
          <w:bCs/>
          <w:iCs/>
        </w:rPr>
        <w:t xml:space="preserve"> the rule, as written, </w:t>
      </w:r>
      <w:r w:rsidR="001656BB">
        <w:rPr>
          <w:bCs/>
          <w:iCs/>
        </w:rPr>
        <w:t>applied to all controls therefore</w:t>
      </w:r>
      <w:r w:rsidR="00F70C5C">
        <w:rPr>
          <w:bCs/>
          <w:iCs/>
        </w:rPr>
        <w:t xml:space="preserve"> </w:t>
      </w:r>
      <w:r w:rsidR="00F70C5C" w:rsidRPr="00FA71D3">
        <w:rPr>
          <w:bCs/>
          <w:iCs/>
        </w:rPr>
        <w:t xml:space="preserve">a distinction </w:t>
      </w:r>
      <w:r w:rsidR="00FA71D3">
        <w:rPr>
          <w:bCs/>
          <w:iCs/>
        </w:rPr>
        <w:t xml:space="preserve">needed to be made between </w:t>
      </w:r>
      <w:r w:rsidR="00F70C5C" w:rsidRPr="00FA71D3">
        <w:rPr>
          <w:bCs/>
          <w:iCs/>
        </w:rPr>
        <w:t xml:space="preserve"> "primary" and "secondary" controls</w:t>
      </w:r>
      <w:r w:rsidR="00023381">
        <w:rPr>
          <w:bCs/>
          <w:iCs/>
        </w:rPr>
        <w:t xml:space="preserve"> (e.g. flap, tab, stabilizer, landing gear)</w:t>
      </w:r>
      <w:r w:rsidR="00F70C5C" w:rsidRPr="00FA71D3">
        <w:rPr>
          <w:bCs/>
          <w:iCs/>
        </w:rPr>
        <w:t xml:space="preserve">, such as provided </w:t>
      </w:r>
      <w:r w:rsidR="00FA71D3">
        <w:rPr>
          <w:bCs/>
          <w:iCs/>
        </w:rPr>
        <w:t>for airplanes</w:t>
      </w:r>
      <w:r w:rsidR="00277AC4">
        <w:rPr>
          <w:bCs/>
          <w:iCs/>
        </w:rPr>
        <w:t>.</w:t>
      </w:r>
      <w:r w:rsidR="00FA71D3">
        <w:rPr>
          <w:bCs/>
          <w:iCs/>
        </w:rPr>
        <w:t xml:space="preserve"> </w:t>
      </w:r>
    </w:p>
    <w:p w14:paraId="6A9D4468" w14:textId="77777777" w:rsidR="00FE1BAC" w:rsidRDefault="005C0347" w:rsidP="00FE1BAC">
      <w:pPr>
        <w:rPr>
          <w:bCs/>
          <w:iCs/>
        </w:rPr>
      </w:pPr>
      <w:r>
        <w:rPr>
          <w:bCs/>
          <w:iCs/>
        </w:rPr>
        <w:t>T</w:t>
      </w:r>
      <w:r w:rsidR="00C120A4">
        <w:rPr>
          <w:bCs/>
          <w:iCs/>
        </w:rPr>
        <w:t xml:space="preserve">he </w:t>
      </w:r>
      <w:r>
        <w:rPr>
          <w:bCs/>
          <w:iCs/>
        </w:rPr>
        <w:t xml:space="preserve">current </w:t>
      </w:r>
      <w:r w:rsidR="00C120A4">
        <w:rPr>
          <w:bCs/>
          <w:iCs/>
        </w:rPr>
        <w:t xml:space="preserve">FAA rotorcraft </w:t>
      </w:r>
      <w:r>
        <w:rPr>
          <w:bCs/>
          <w:iCs/>
        </w:rPr>
        <w:t xml:space="preserve">flight </w:t>
      </w:r>
      <w:r w:rsidR="00C120A4">
        <w:rPr>
          <w:bCs/>
          <w:iCs/>
        </w:rPr>
        <w:t>control regulations</w:t>
      </w:r>
      <w:r w:rsidR="00436C96">
        <w:rPr>
          <w:bCs/>
          <w:iCs/>
        </w:rPr>
        <w:t>, called limit pilot forces</w:t>
      </w:r>
      <w:r w:rsidR="000903A7">
        <w:rPr>
          <w:bCs/>
          <w:iCs/>
        </w:rPr>
        <w:t xml:space="preserve"> (i.e. foot controls-130 </w:t>
      </w:r>
      <w:proofErr w:type="spellStart"/>
      <w:r w:rsidR="000903A7">
        <w:rPr>
          <w:bCs/>
          <w:iCs/>
        </w:rPr>
        <w:t>lbs</w:t>
      </w:r>
      <w:proofErr w:type="spellEnd"/>
      <w:r w:rsidR="000903A7">
        <w:rPr>
          <w:bCs/>
          <w:iCs/>
        </w:rPr>
        <w:t xml:space="preserve">, stick controls-100 </w:t>
      </w:r>
      <w:proofErr w:type="spellStart"/>
      <w:r w:rsidR="000903A7">
        <w:rPr>
          <w:bCs/>
          <w:iCs/>
        </w:rPr>
        <w:t>lbs</w:t>
      </w:r>
      <w:proofErr w:type="spellEnd"/>
      <w:r w:rsidR="000903A7">
        <w:rPr>
          <w:bCs/>
          <w:iCs/>
        </w:rPr>
        <w:t xml:space="preserve"> fore/aft and 67 </w:t>
      </w:r>
      <w:proofErr w:type="spellStart"/>
      <w:r w:rsidR="000903A7">
        <w:rPr>
          <w:bCs/>
          <w:iCs/>
        </w:rPr>
        <w:t>lbs</w:t>
      </w:r>
      <w:proofErr w:type="spellEnd"/>
      <w:r w:rsidR="000903A7">
        <w:rPr>
          <w:bCs/>
          <w:iCs/>
        </w:rPr>
        <w:t xml:space="preserve"> laterally)</w:t>
      </w:r>
      <w:r w:rsidR="00436C96">
        <w:rPr>
          <w:bCs/>
          <w:iCs/>
        </w:rPr>
        <w:t>,</w:t>
      </w:r>
      <w:r w:rsidR="00C120A4">
        <w:rPr>
          <w:bCs/>
          <w:iCs/>
        </w:rPr>
        <w:t xml:space="preserve"> are written </w:t>
      </w:r>
      <w:r w:rsidR="005910B2">
        <w:rPr>
          <w:bCs/>
          <w:iCs/>
        </w:rPr>
        <w:t>for the overall</w:t>
      </w:r>
      <w:r>
        <w:rPr>
          <w:bCs/>
          <w:iCs/>
        </w:rPr>
        <w:t xml:space="preserve"> structural</w:t>
      </w:r>
      <w:r w:rsidR="00C120A4">
        <w:rPr>
          <w:bCs/>
          <w:iCs/>
        </w:rPr>
        <w:t xml:space="preserve"> design loads</w:t>
      </w:r>
      <w:r w:rsidR="00AD298C">
        <w:rPr>
          <w:bCs/>
          <w:iCs/>
        </w:rPr>
        <w:t xml:space="preserve"> imposed by the pilot</w:t>
      </w:r>
      <w:r>
        <w:rPr>
          <w:bCs/>
          <w:iCs/>
        </w:rPr>
        <w:t xml:space="preserve"> in conjunction with any other</w:t>
      </w:r>
      <w:r w:rsidR="00815FA9">
        <w:rPr>
          <w:bCs/>
          <w:iCs/>
        </w:rPr>
        <w:t xml:space="preserve"> forces from</w:t>
      </w:r>
      <w:r>
        <w:rPr>
          <w:bCs/>
          <w:iCs/>
        </w:rPr>
        <w:t xml:space="preserve"> mechanical/servo assist. Hence, the</w:t>
      </w:r>
      <w:r w:rsidR="006C3E8D">
        <w:rPr>
          <w:bCs/>
          <w:iCs/>
        </w:rPr>
        <w:t>re is a</w:t>
      </w:r>
      <w:r>
        <w:rPr>
          <w:bCs/>
          <w:iCs/>
        </w:rPr>
        <w:t xml:space="preserve"> lack of specific pilot flight control force requirements, in the context of pilot effort alone</w:t>
      </w:r>
      <w:r w:rsidR="006C3E8D">
        <w:rPr>
          <w:bCs/>
          <w:iCs/>
        </w:rPr>
        <w:t xml:space="preserve">, </w:t>
      </w:r>
      <w:r w:rsidR="00966525">
        <w:rPr>
          <w:bCs/>
          <w:iCs/>
        </w:rPr>
        <w:t>beyond</w:t>
      </w:r>
      <w:r w:rsidR="00E02DB0">
        <w:rPr>
          <w:bCs/>
          <w:iCs/>
        </w:rPr>
        <w:t xml:space="preserve"> the vague statement of not requiring “exceptional pilot skill or strength”</w:t>
      </w:r>
      <w:r w:rsidR="001958FD">
        <w:rPr>
          <w:bCs/>
          <w:iCs/>
        </w:rPr>
        <w:t xml:space="preserve">. </w:t>
      </w:r>
      <w:r w:rsidR="00FE1BAC">
        <w:rPr>
          <w:bCs/>
          <w:iCs/>
        </w:rPr>
        <w:t>The requirements for normal category Part 23 airplanes and normal category Part 27 rotorcraft mirror those of their respective transport category, other than normal category airplanes which include a “stick” control</w:t>
      </w:r>
      <w:r w:rsidR="001656BB">
        <w:rPr>
          <w:bCs/>
          <w:iCs/>
        </w:rPr>
        <w:t xml:space="preserve"> instead of a “control wheel”</w:t>
      </w:r>
      <w:r w:rsidR="00FE1BAC">
        <w:rPr>
          <w:bCs/>
          <w:iCs/>
        </w:rPr>
        <w:t xml:space="preserve"> for pitch and roll. </w:t>
      </w:r>
    </w:p>
    <w:p w14:paraId="2E564484" w14:textId="77777777" w:rsidR="005C0347" w:rsidRDefault="005C0347" w:rsidP="002F2967">
      <w:pPr>
        <w:rPr>
          <w:bCs/>
          <w:iCs/>
        </w:rPr>
      </w:pPr>
    </w:p>
    <w:p w14:paraId="3E8F43A9" w14:textId="77777777" w:rsidR="00652C89" w:rsidRDefault="00652C89" w:rsidP="00CE2AE5">
      <w:pPr>
        <w:rPr>
          <w:bCs/>
        </w:rPr>
      </w:pPr>
      <w:r w:rsidRPr="00AF272E">
        <w:rPr>
          <w:bCs/>
        </w:rPr>
        <w:lastRenderedPageBreak/>
        <w:t>Whereas in aircraft design</w:t>
      </w:r>
      <w:r>
        <w:rPr>
          <w:bCs/>
        </w:rPr>
        <w:t>, the anthropometric</w:t>
      </w:r>
      <w:r w:rsidRPr="00AF272E">
        <w:rPr>
          <w:bCs/>
        </w:rPr>
        <w:t xml:space="preserve"> body measurements are typically bounded by the 5</w:t>
      </w:r>
      <w:r w:rsidRPr="00AF272E">
        <w:rPr>
          <w:bCs/>
          <w:vertAlign w:val="superscript"/>
        </w:rPr>
        <w:t>th</w:t>
      </w:r>
      <w:r w:rsidR="005C41D9">
        <w:rPr>
          <w:bCs/>
        </w:rPr>
        <w:t xml:space="preserve"> </w:t>
      </w:r>
      <w:r w:rsidRPr="00AF272E">
        <w:rPr>
          <w:bCs/>
        </w:rPr>
        <w:t>and 95</w:t>
      </w:r>
      <w:r w:rsidRPr="00AF272E">
        <w:rPr>
          <w:bCs/>
          <w:vertAlign w:val="superscript"/>
        </w:rPr>
        <w:t>th</w:t>
      </w:r>
      <w:r w:rsidRPr="00AF272E">
        <w:rPr>
          <w:bCs/>
        </w:rPr>
        <w:t xml:space="preserve">  percentile</w:t>
      </w:r>
      <w:r w:rsidR="00966525">
        <w:rPr>
          <w:rStyle w:val="EndnoteReference"/>
          <w:bCs/>
        </w:rPr>
        <w:endnoteReference w:id="7"/>
      </w:r>
      <w:r w:rsidRPr="00AF272E">
        <w:rPr>
          <w:bCs/>
        </w:rPr>
        <w:t>, strength design limits for control forces normally only have a lower bounda</w:t>
      </w:r>
      <w:r>
        <w:rPr>
          <w:bCs/>
        </w:rPr>
        <w:t>ry, typically based upon the 5</w:t>
      </w:r>
      <w:r w:rsidRPr="00DB2C8B">
        <w:rPr>
          <w:bCs/>
          <w:vertAlign w:val="superscript"/>
        </w:rPr>
        <w:t>th</w:t>
      </w:r>
      <w:r>
        <w:rPr>
          <w:bCs/>
        </w:rPr>
        <w:t xml:space="preserve"> </w:t>
      </w:r>
      <w:r w:rsidRPr="00AF272E">
        <w:rPr>
          <w:bCs/>
        </w:rPr>
        <w:t xml:space="preserve"> percentile of the female user population</w:t>
      </w:r>
      <w:r>
        <w:rPr>
          <w:bCs/>
        </w:rPr>
        <w:t xml:space="preserve"> (1</w:t>
      </w:r>
      <w:r w:rsidRPr="00B358CA">
        <w:rPr>
          <w:bCs/>
          <w:vertAlign w:val="superscript"/>
        </w:rPr>
        <w:t>st</w:t>
      </w:r>
      <w:r>
        <w:rPr>
          <w:bCs/>
        </w:rPr>
        <w:t xml:space="preserve"> percentile for critical skills)</w:t>
      </w:r>
      <w:r w:rsidRPr="00AF272E">
        <w:rPr>
          <w:bCs/>
        </w:rPr>
        <w:t xml:space="preserve"> or the weakest person in the p</w:t>
      </w:r>
      <w:r>
        <w:rPr>
          <w:bCs/>
        </w:rPr>
        <w:t>opulation, as recommended in Mil</w:t>
      </w:r>
      <w:r w:rsidRPr="00AF272E">
        <w:rPr>
          <w:bCs/>
        </w:rPr>
        <w:t xml:space="preserve">-Hdbk-759C (1995). </w:t>
      </w:r>
      <w:r>
        <w:rPr>
          <w:bCs/>
        </w:rPr>
        <w:t>O</w:t>
      </w:r>
      <w:r w:rsidRPr="00AF272E">
        <w:rPr>
          <w:bCs/>
        </w:rPr>
        <w:t xml:space="preserve">ver the years there have been </w:t>
      </w:r>
      <w:r>
        <w:rPr>
          <w:bCs/>
        </w:rPr>
        <w:t xml:space="preserve">some </w:t>
      </w:r>
      <w:r w:rsidRPr="00AF272E">
        <w:rPr>
          <w:bCs/>
        </w:rPr>
        <w:t xml:space="preserve">small-scale </w:t>
      </w:r>
      <w:r>
        <w:rPr>
          <w:bCs/>
        </w:rPr>
        <w:t>studies</w:t>
      </w:r>
      <w:r w:rsidRPr="00AF272E">
        <w:rPr>
          <w:bCs/>
        </w:rPr>
        <w:t xml:space="preserve"> focuse</w:t>
      </w:r>
      <w:r>
        <w:rPr>
          <w:bCs/>
        </w:rPr>
        <w:t>d specifically on aircraft</w:t>
      </w:r>
      <w:r w:rsidRPr="00AF272E">
        <w:rPr>
          <w:bCs/>
        </w:rPr>
        <w:t xml:space="preserve"> </w:t>
      </w:r>
      <w:r>
        <w:rPr>
          <w:bCs/>
        </w:rPr>
        <w:t>flight control forces</w:t>
      </w:r>
      <w:r w:rsidRPr="00AF272E">
        <w:rPr>
          <w:bCs/>
        </w:rPr>
        <w:t>, such as th</w:t>
      </w:r>
      <w:r>
        <w:rPr>
          <w:bCs/>
        </w:rPr>
        <w:t xml:space="preserve">ose conducted by </w:t>
      </w:r>
      <w:proofErr w:type="spellStart"/>
      <w:r>
        <w:rPr>
          <w:bCs/>
        </w:rPr>
        <w:t>Beringer</w:t>
      </w:r>
      <w:proofErr w:type="spellEnd"/>
      <w:r>
        <w:rPr>
          <w:bCs/>
        </w:rPr>
        <w:t xml:space="preserve"> (</w:t>
      </w:r>
      <w:r w:rsidR="001A633D">
        <w:rPr>
          <w:bCs/>
        </w:rPr>
        <w:t>2006;</w:t>
      </w:r>
      <w:r w:rsidR="005C41D9">
        <w:rPr>
          <w:bCs/>
        </w:rPr>
        <w:t xml:space="preserve"> </w:t>
      </w:r>
      <w:r>
        <w:rPr>
          <w:bCs/>
        </w:rPr>
        <w:t xml:space="preserve">2007; 2008; 2009), Meyer, </w:t>
      </w:r>
      <w:proofErr w:type="spellStart"/>
      <w:r>
        <w:rPr>
          <w:bCs/>
        </w:rPr>
        <w:t>Pokorski</w:t>
      </w:r>
      <w:proofErr w:type="spellEnd"/>
      <w:r>
        <w:rPr>
          <w:bCs/>
        </w:rPr>
        <w:t xml:space="preserve">, and </w:t>
      </w:r>
      <w:proofErr w:type="spellStart"/>
      <w:r>
        <w:rPr>
          <w:bCs/>
        </w:rPr>
        <w:t>Or</w:t>
      </w:r>
      <w:r w:rsidR="001A633D">
        <w:rPr>
          <w:bCs/>
        </w:rPr>
        <w:t>tel</w:t>
      </w:r>
      <w:proofErr w:type="spellEnd"/>
      <w:r w:rsidR="001A633D">
        <w:rPr>
          <w:bCs/>
        </w:rPr>
        <w:t xml:space="preserve"> (199</w:t>
      </w:r>
      <w:r w:rsidR="005C41D9">
        <w:rPr>
          <w:bCs/>
        </w:rPr>
        <w:t>6), McDaniel (1981, 1995),</w:t>
      </w:r>
      <w:r w:rsidR="00516BE0">
        <w:rPr>
          <w:bCs/>
        </w:rPr>
        <w:t xml:space="preserve"> </w:t>
      </w:r>
      <w:proofErr w:type="spellStart"/>
      <w:r w:rsidR="00516BE0">
        <w:rPr>
          <w:bCs/>
        </w:rPr>
        <w:t>Hasbrook</w:t>
      </w:r>
      <w:proofErr w:type="spellEnd"/>
      <w:r w:rsidR="00516BE0">
        <w:rPr>
          <w:bCs/>
        </w:rPr>
        <w:t xml:space="preserve"> et al. (1972),</w:t>
      </w:r>
      <w:r w:rsidR="005C41D9">
        <w:rPr>
          <w:bCs/>
        </w:rPr>
        <w:t xml:space="preserve"> </w:t>
      </w:r>
      <w:r w:rsidR="00516BE0">
        <w:rPr>
          <w:bCs/>
        </w:rPr>
        <w:t xml:space="preserve">Hertzberg and Burke (1971) </w:t>
      </w:r>
      <w:proofErr w:type="gramStart"/>
      <w:r w:rsidR="00516BE0">
        <w:rPr>
          <w:bCs/>
        </w:rPr>
        <w:t xml:space="preserve">and  </w:t>
      </w:r>
      <w:proofErr w:type="spellStart"/>
      <w:r w:rsidR="00516BE0">
        <w:rPr>
          <w:bCs/>
        </w:rPr>
        <w:t>Kroemer</w:t>
      </w:r>
      <w:proofErr w:type="spellEnd"/>
      <w:proofErr w:type="gramEnd"/>
      <w:r w:rsidR="00516BE0">
        <w:rPr>
          <w:bCs/>
        </w:rPr>
        <w:t xml:space="preserve"> (1971). </w:t>
      </w:r>
      <w:r>
        <w:rPr>
          <w:bCs/>
        </w:rPr>
        <w:t xml:space="preserve">However, </w:t>
      </w:r>
      <w:r w:rsidRPr="00AF272E">
        <w:rPr>
          <w:bCs/>
        </w:rPr>
        <w:t xml:space="preserve">there has not been any recent large-scale </w:t>
      </w:r>
      <w:r>
        <w:rPr>
          <w:bCs/>
        </w:rPr>
        <w:t>study</w:t>
      </w:r>
      <w:r w:rsidRPr="00AF272E">
        <w:rPr>
          <w:bCs/>
        </w:rPr>
        <w:t xml:space="preserve"> of human strength</w:t>
      </w:r>
      <w:r>
        <w:rPr>
          <w:bCs/>
        </w:rPr>
        <w:t>/control forces</w:t>
      </w:r>
      <w:r w:rsidR="00771BDF">
        <w:rPr>
          <w:bCs/>
        </w:rPr>
        <w:t xml:space="preserve"> for aircraft</w:t>
      </w:r>
      <w:r w:rsidRPr="00AF272E">
        <w:rPr>
          <w:bCs/>
        </w:rPr>
        <w:t>.</w:t>
      </w:r>
      <w:r w:rsidRPr="00165E8D">
        <w:rPr>
          <w:bCs/>
        </w:rPr>
        <w:t xml:space="preserve"> </w:t>
      </w:r>
    </w:p>
    <w:p w14:paraId="19237DB8" w14:textId="77777777" w:rsidR="00732881" w:rsidRDefault="00732881" w:rsidP="001B4A39">
      <w:pPr>
        <w:rPr>
          <w:bCs/>
          <w:iCs/>
        </w:rPr>
      </w:pPr>
    </w:p>
    <w:p w14:paraId="019AAEB9" w14:textId="77777777" w:rsidR="00E34DF9" w:rsidRPr="00F23339" w:rsidRDefault="00E34DF9" w:rsidP="00E34DF9">
      <w:pPr>
        <w:rPr>
          <w:bCs/>
        </w:rPr>
      </w:pPr>
      <w:r w:rsidRPr="00F23339">
        <w:rPr>
          <w:bCs/>
        </w:rPr>
        <w:t>The pilot flight co</w:t>
      </w:r>
      <w:r w:rsidR="00771BDF">
        <w:rPr>
          <w:bCs/>
        </w:rPr>
        <w:t>ntrol maximum force requirements</w:t>
      </w:r>
      <w:r w:rsidRPr="00F23339">
        <w:rPr>
          <w:bCs/>
        </w:rPr>
        <w:t xml:space="preserve"> also touch other regulations, to include but not limited to transients in flight guidance systems</w:t>
      </w:r>
      <w:r w:rsidR="00CE5B9D">
        <w:rPr>
          <w:bCs/>
        </w:rPr>
        <w:t xml:space="preserve"> (FGS)</w:t>
      </w:r>
      <w:r w:rsidRPr="00F23339">
        <w:rPr>
          <w:bCs/>
        </w:rPr>
        <w:t xml:space="preserve">, automatic pilot </w:t>
      </w:r>
      <w:r w:rsidR="00CE5B9D">
        <w:rPr>
          <w:bCs/>
        </w:rPr>
        <w:t xml:space="preserve">(AP) </w:t>
      </w:r>
      <w:r w:rsidRPr="00F23339">
        <w:rPr>
          <w:bCs/>
        </w:rPr>
        <w:t>system malfunctions,</w:t>
      </w:r>
      <w:r w:rsidR="005C41D9">
        <w:rPr>
          <w:bCs/>
        </w:rPr>
        <w:t xml:space="preserve"> trim runaways,</w:t>
      </w:r>
      <w:r w:rsidRPr="00F23339">
        <w:rPr>
          <w:bCs/>
        </w:rPr>
        <w:t xml:space="preserve"> and operation of variable inlet/exhaust geomet</w:t>
      </w:r>
      <w:r>
        <w:rPr>
          <w:bCs/>
        </w:rPr>
        <w:t>ry.</w:t>
      </w:r>
    </w:p>
    <w:p w14:paraId="262DAF7F" w14:textId="77777777" w:rsidR="00E34DF9" w:rsidRPr="00F23339" w:rsidRDefault="00E34DF9" w:rsidP="00E34DF9"/>
    <w:p w14:paraId="41B26F22" w14:textId="77777777" w:rsidR="00781D0B" w:rsidRDefault="005910B2" w:rsidP="005910B2">
      <w:pPr>
        <w:ind w:firstLine="432"/>
        <w:jc w:val="center"/>
        <w:rPr>
          <w:b/>
          <w:bCs/>
          <w:iCs/>
        </w:rPr>
      </w:pPr>
      <w:r w:rsidRPr="00B93B8E">
        <w:rPr>
          <w:b/>
          <w:bCs/>
          <w:iCs/>
        </w:rPr>
        <w:t>The Way Forward</w:t>
      </w:r>
    </w:p>
    <w:p w14:paraId="755E4214" w14:textId="77777777" w:rsidR="00734361" w:rsidRPr="00B93B8E" w:rsidRDefault="00734361" w:rsidP="005910B2">
      <w:pPr>
        <w:ind w:firstLine="432"/>
        <w:jc w:val="center"/>
        <w:rPr>
          <w:b/>
          <w:bCs/>
          <w:iCs/>
        </w:rPr>
      </w:pPr>
    </w:p>
    <w:p w14:paraId="3C19EFCE" w14:textId="77777777" w:rsidR="00652C89" w:rsidRDefault="00ED3D9C" w:rsidP="002F2967">
      <w:pPr>
        <w:rPr>
          <w:bCs/>
        </w:rPr>
      </w:pPr>
      <w:r>
        <w:rPr>
          <w:bCs/>
        </w:rPr>
        <w:t>To mitigate the hazard of excessive flight control forces</w:t>
      </w:r>
      <w:r w:rsidR="00CE2AE5">
        <w:rPr>
          <w:bCs/>
        </w:rPr>
        <w:t xml:space="preserve"> and update the applicable FAA regulations</w:t>
      </w:r>
      <w:r w:rsidR="00DF62DA">
        <w:rPr>
          <w:bCs/>
        </w:rPr>
        <w:t xml:space="preserve"> to ensure that new aircraft</w:t>
      </w:r>
      <w:r w:rsidR="00DF62DA" w:rsidRPr="00652C89">
        <w:rPr>
          <w:bCs/>
        </w:rPr>
        <w:t xml:space="preserve"> designs account for </w:t>
      </w:r>
      <w:r w:rsidR="00DF62DA">
        <w:rPr>
          <w:bCs/>
        </w:rPr>
        <w:t>the current pilot population demographic and flight control configurations</w:t>
      </w:r>
      <w:r>
        <w:rPr>
          <w:bCs/>
        </w:rPr>
        <w:t xml:space="preserve">, </w:t>
      </w:r>
      <w:r w:rsidR="00A5009A">
        <w:rPr>
          <w:bCs/>
        </w:rPr>
        <w:t>it is necessary to gather current data from a statistically significan</w:t>
      </w:r>
      <w:r w:rsidR="00734361">
        <w:rPr>
          <w:bCs/>
        </w:rPr>
        <w:t>t</w:t>
      </w:r>
      <w:r w:rsidR="00A5009A">
        <w:rPr>
          <w:bCs/>
        </w:rPr>
        <w:t xml:space="preserve"> and </w:t>
      </w:r>
      <w:r w:rsidR="00734361">
        <w:rPr>
          <w:bCs/>
        </w:rPr>
        <w:t>d</w:t>
      </w:r>
      <w:r w:rsidR="00A5009A">
        <w:rPr>
          <w:bCs/>
        </w:rPr>
        <w:t xml:space="preserve">emographically representative sample of subjects. To that end, </w:t>
      </w:r>
      <w:r w:rsidR="00DF62DA">
        <w:rPr>
          <w:bCs/>
        </w:rPr>
        <w:t xml:space="preserve">a study </w:t>
      </w:r>
      <w:r w:rsidR="005910B2">
        <w:rPr>
          <w:bCs/>
        </w:rPr>
        <w:t xml:space="preserve">is </w:t>
      </w:r>
      <w:r w:rsidR="00E2465D">
        <w:rPr>
          <w:bCs/>
        </w:rPr>
        <w:t>currently</w:t>
      </w:r>
      <w:r w:rsidR="00A5009A">
        <w:rPr>
          <w:bCs/>
        </w:rPr>
        <w:t xml:space="preserve"> being </w:t>
      </w:r>
      <w:r w:rsidR="00DF62DA">
        <w:rPr>
          <w:bCs/>
        </w:rPr>
        <w:t>conducted</w:t>
      </w:r>
      <w:r w:rsidR="00EC4A35">
        <w:rPr>
          <w:bCs/>
        </w:rPr>
        <w:t xml:space="preserve"> by the FAA Civil</w:t>
      </w:r>
      <w:r w:rsidR="005910B2">
        <w:rPr>
          <w:bCs/>
        </w:rPr>
        <w:t xml:space="preserve"> Aerospace Medical Institute (CAM</w:t>
      </w:r>
      <w:r w:rsidR="00EC4A35">
        <w:rPr>
          <w:bCs/>
        </w:rPr>
        <w:t>I</w:t>
      </w:r>
      <w:r w:rsidR="005910B2">
        <w:rPr>
          <w:bCs/>
        </w:rPr>
        <w:t>)</w:t>
      </w:r>
      <w:r w:rsidR="00DF62DA">
        <w:rPr>
          <w:bCs/>
        </w:rPr>
        <w:t xml:space="preserve"> to gather </w:t>
      </w:r>
      <w:r>
        <w:rPr>
          <w:bCs/>
        </w:rPr>
        <w:t>valid</w:t>
      </w:r>
      <w:r w:rsidRPr="00652C89">
        <w:rPr>
          <w:bCs/>
        </w:rPr>
        <w:t xml:space="preserve"> flight control force-application strength data</w:t>
      </w:r>
      <w:r w:rsidR="00F153DC">
        <w:rPr>
          <w:bCs/>
        </w:rPr>
        <w:t xml:space="preserve"> </w:t>
      </w:r>
      <w:r w:rsidR="00F153DC" w:rsidRPr="00652C89">
        <w:rPr>
          <w:bCs/>
        </w:rPr>
        <w:t>utilizing current and reasonably anticipated flight control-input devices to be found in transport category and normal category aircraft</w:t>
      </w:r>
      <w:r>
        <w:rPr>
          <w:bCs/>
        </w:rPr>
        <w:t>. </w:t>
      </w:r>
      <w:r w:rsidR="00CE5B9D">
        <w:rPr>
          <w:bCs/>
        </w:rPr>
        <w:t>A portable mock cockpit test rig is being used to collect data</w:t>
      </w:r>
      <w:r w:rsidR="00DF62DA">
        <w:rPr>
          <w:bCs/>
        </w:rPr>
        <w:t xml:space="preserve"> </w:t>
      </w:r>
      <w:r w:rsidR="00CE5B9D">
        <w:rPr>
          <w:bCs/>
        </w:rPr>
        <w:t>from volunteer subjects across the United States for</w:t>
      </w:r>
      <w:r w:rsidRPr="00652C89">
        <w:rPr>
          <w:bCs/>
        </w:rPr>
        <w:t xml:space="preserve"> momentary and sustained</w:t>
      </w:r>
      <w:r w:rsidR="00CE5B9D">
        <w:rPr>
          <w:bCs/>
        </w:rPr>
        <w:t xml:space="preserve"> forces</w:t>
      </w:r>
      <w:r w:rsidRPr="00652C89">
        <w:rPr>
          <w:bCs/>
        </w:rPr>
        <w:t xml:space="preserve"> that can be exerted for </w:t>
      </w:r>
      <w:r w:rsidR="00E2465D">
        <w:rPr>
          <w:bCs/>
        </w:rPr>
        <w:t xml:space="preserve">a variety of </w:t>
      </w:r>
      <w:r w:rsidRPr="00652C89">
        <w:rPr>
          <w:bCs/>
        </w:rPr>
        <w:t xml:space="preserve">inceptors (e.g. yoke, wheel, column, center &amp; side sticks, cyclic, collective) when in the normal seated position </w:t>
      </w:r>
      <w:r w:rsidR="00734361">
        <w:rPr>
          <w:bCs/>
        </w:rPr>
        <w:t xml:space="preserve">with seat belt </w:t>
      </w:r>
      <w:r>
        <w:rPr>
          <w:bCs/>
        </w:rPr>
        <w:t>f</w:t>
      </w:r>
      <w:r w:rsidR="00734361">
        <w:rPr>
          <w:bCs/>
        </w:rPr>
        <w:t>astened</w:t>
      </w:r>
      <w:r w:rsidR="00785126">
        <w:rPr>
          <w:bCs/>
        </w:rPr>
        <w:t xml:space="preserve"> and normal knee angles</w:t>
      </w:r>
      <w:r w:rsidR="00DF62DA">
        <w:rPr>
          <w:bCs/>
        </w:rPr>
        <w:t xml:space="preserve">.  </w:t>
      </w:r>
    </w:p>
    <w:p w14:paraId="4A117319" w14:textId="77777777" w:rsidR="00D623DC" w:rsidRDefault="00D623DC" w:rsidP="00973E85">
      <w:pPr>
        <w:jc w:val="center"/>
        <w:rPr>
          <w:bCs/>
        </w:rPr>
      </w:pPr>
    </w:p>
    <w:p w14:paraId="1A7967F1" w14:textId="77777777" w:rsidR="007C7F6F" w:rsidRDefault="00D623DC">
      <w:pPr>
        <w:rPr>
          <w:bCs/>
        </w:rPr>
      </w:pPr>
      <w:r>
        <w:rPr>
          <w:bCs/>
        </w:rPr>
        <w:t>These</w:t>
      </w:r>
      <w:r w:rsidRPr="00652C89">
        <w:rPr>
          <w:bCs/>
        </w:rPr>
        <w:t xml:space="preserve"> data</w:t>
      </w:r>
      <w:r w:rsidR="00CE5B9D">
        <w:rPr>
          <w:bCs/>
        </w:rPr>
        <w:t>, scheduled to be available in early 2018,</w:t>
      </w:r>
      <w:r w:rsidRPr="00652C89">
        <w:rPr>
          <w:bCs/>
        </w:rPr>
        <w:t xml:space="preserve"> </w:t>
      </w:r>
      <w:r>
        <w:rPr>
          <w:bCs/>
        </w:rPr>
        <w:t xml:space="preserve">should be </w:t>
      </w:r>
      <w:r w:rsidR="00E0621D">
        <w:rPr>
          <w:bCs/>
        </w:rPr>
        <w:t>considered for mitigating</w:t>
      </w:r>
      <w:r>
        <w:rPr>
          <w:bCs/>
        </w:rPr>
        <w:t xml:space="preserve"> the h</w:t>
      </w:r>
      <w:r w:rsidR="00F23339">
        <w:rPr>
          <w:bCs/>
        </w:rPr>
        <w:t>a</w:t>
      </w:r>
      <w:r>
        <w:rPr>
          <w:bCs/>
        </w:rPr>
        <w:t>zard of excessive pilot flight control forces by updating the</w:t>
      </w:r>
      <w:r w:rsidRPr="00652C89">
        <w:rPr>
          <w:bCs/>
        </w:rPr>
        <w:t xml:space="preserve"> </w:t>
      </w:r>
      <w:r w:rsidR="00C91210">
        <w:rPr>
          <w:bCs/>
        </w:rPr>
        <w:t xml:space="preserve">FAA </w:t>
      </w:r>
      <w:r w:rsidRPr="00652C89">
        <w:rPr>
          <w:bCs/>
        </w:rPr>
        <w:t>design certification</w:t>
      </w:r>
      <w:r>
        <w:rPr>
          <w:bCs/>
        </w:rPr>
        <w:t xml:space="preserve"> regulations for airplanes and </w:t>
      </w:r>
      <w:r w:rsidR="00E34537">
        <w:rPr>
          <w:bCs/>
        </w:rPr>
        <w:t>rotorcraft</w:t>
      </w:r>
      <w:r w:rsidRPr="00652C89">
        <w:rPr>
          <w:bCs/>
        </w:rPr>
        <w:t xml:space="preserve"> </w:t>
      </w:r>
      <w:r>
        <w:rPr>
          <w:bCs/>
        </w:rPr>
        <w:t>that are used</w:t>
      </w:r>
      <w:r w:rsidRPr="00652C89">
        <w:rPr>
          <w:bCs/>
        </w:rPr>
        <w:t xml:space="preserve"> by manufacturers to </w:t>
      </w:r>
      <w:r w:rsidRPr="00652C89">
        <w:rPr>
          <w:bCs/>
          <w:i/>
          <w:iCs/>
        </w:rPr>
        <w:t xml:space="preserve">show compliance, </w:t>
      </w:r>
      <w:r w:rsidRPr="00652C89">
        <w:rPr>
          <w:bCs/>
        </w:rPr>
        <w:t xml:space="preserve">and the </w:t>
      </w:r>
      <w:r w:rsidR="00C91210">
        <w:rPr>
          <w:bCs/>
        </w:rPr>
        <w:t>FAA</w:t>
      </w:r>
      <w:r>
        <w:rPr>
          <w:bCs/>
        </w:rPr>
        <w:t xml:space="preserve"> </w:t>
      </w:r>
      <w:r w:rsidRPr="00652C89">
        <w:rPr>
          <w:bCs/>
        </w:rPr>
        <w:t xml:space="preserve">to </w:t>
      </w:r>
      <w:r w:rsidRPr="00652C89">
        <w:rPr>
          <w:bCs/>
          <w:i/>
          <w:iCs/>
        </w:rPr>
        <w:t>find compliance,</w:t>
      </w:r>
      <w:r w:rsidRPr="00652C89">
        <w:rPr>
          <w:bCs/>
        </w:rPr>
        <w:t xml:space="preserve"> </w:t>
      </w:r>
      <w:proofErr w:type="gramStart"/>
      <w:r w:rsidRPr="00652C89">
        <w:rPr>
          <w:bCs/>
        </w:rPr>
        <w:t xml:space="preserve">with </w:t>
      </w:r>
      <w:r>
        <w:rPr>
          <w:bCs/>
        </w:rPr>
        <w:t xml:space="preserve"> regulations</w:t>
      </w:r>
      <w:proofErr w:type="gramEnd"/>
      <w:r>
        <w:rPr>
          <w:bCs/>
        </w:rPr>
        <w:t xml:space="preserve"> related to pilot flight control forces.  </w:t>
      </w:r>
    </w:p>
    <w:p w14:paraId="3E954492" w14:textId="77777777" w:rsidR="00BB3730" w:rsidRDefault="00BB3730">
      <w:pPr>
        <w:rPr>
          <w:bCs/>
        </w:rPr>
      </w:pPr>
    </w:p>
    <w:p w14:paraId="7F745B78" w14:textId="77777777" w:rsidR="001F1D6A" w:rsidRDefault="005C514C" w:rsidP="001F1D6A">
      <w:pPr>
        <w:jc w:val="center"/>
        <w:rPr>
          <w:b/>
        </w:rPr>
      </w:pPr>
      <w:r w:rsidRPr="007435E5">
        <w:rPr>
          <w:b/>
        </w:rPr>
        <w:t>References</w:t>
      </w:r>
    </w:p>
    <w:p w14:paraId="2DE600E8" w14:textId="77777777" w:rsidR="001F1D6A" w:rsidRPr="007435E5" w:rsidRDefault="001F1D6A" w:rsidP="001F1D6A">
      <w:pPr>
        <w:jc w:val="center"/>
        <w:rPr>
          <w:b/>
        </w:rPr>
      </w:pPr>
    </w:p>
    <w:p w14:paraId="6BBD96ED" w14:textId="77777777" w:rsidR="00F25CE7" w:rsidRPr="002F2967" w:rsidRDefault="00F25CE7" w:rsidP="00F25CE7">
      <w:pPr>
        <w:ind w:left="288" w:hanging="288"/>
        <w:rPr>
          <w:bCs/>
        </w:rPr>
      </w:pPr>
      <w:r w:rsidRPr="002F2967">
        <w:rPr>
          <w:bCs/>
        </w:rPr>
        <w:t xml:space="preserve">Army, U. S. (1995). </w:t>
      </w:r>
      <w:r w:rsidRPr="002F2967">
        <w:rPr>
          <w:bCs/>
          <w:i/>
          <w:iCs/>
        </w:rPr>
        <w:t>Human factors engineering design for Army materiel</w:t>
      </w:r>
      <w:r w:rsidRPr="002F2967">
        <w:rPr>
          <w:bCs/>
        </w:rPr>
        <w:t>. MIL-HBK-759C.</w:t>
      </w:r>
    </w:p>
    <w:p w14:paraId="6353E959" w14:textId="77777777" w:rsidR="00F25CE7" w:rsidRPr="002F2967" w:rsidRDefault="00F25CE7" w:rsidP="00EC3AEB">
      <w:pPr>
        <w:ind w:left="288" w:hanging="288"/>
        <w:rPr>
          <w:bCs/>
        </w:rPr>
      </w:pPr>
    </w:p>
    <w:p w14:paraId="252BE0DD" w14:textId="77777777" w:rsidR="00EC3AEB" w:rsidRDefault="00EC3AEB" w:rsidP="00EC3AEB">
      <w:pPr>
        <w:ind w:left="288" w:hanging="288"/>
        <w:rPr>
          <w:bCs/>
        </w:rPr>
      </w:pPr>
      <w:proofErr w:type="spellStart"/>
      <w:r w:rsidRPr="002F2967">
        <w:rPr>
          <w:bCs/>
        </w:rPr>
        <w:t>Beringer</w:t>
      </w:r>
      <w:proofErr w:type="spellEnd"/>
      <w:r w:rsidRPr="002F2967">
        <w:rPr>
          <w:bCs/>
        </w:rPr>
        <w:t>, D.B. (2006). Anthropometric standards on the flight deck: Origins of control-force-exertion limits and comparisons with recent surveys of human performance limitations. In Proceedings of the 50</w:t>
      </w:r>
      <w:r w:rsidRPr="002F2967">
        <w:rPr>
          <w:bCs/>
          <w:vertAlign w:val="superscript"/>
        </w:rPr>
        <w:t>th</w:t>
      </w:r>
      <w:r w:rsidRPr="002F2967">
        <w:rPr>
          <w:bCs/>
        </w:rPr>
        <w:t xml:space="preserve"> Annual meeting of the Human Factors &amp; Ergonomics Society, 116-120. </w:t>
      </w:r>
    </w:p>
    <w:p w14:paraId="1F5E367C" w14:textId="77777777" w:rsidR="002F2967" w:rsidRPr="002F2967" w:rsidRDefault="002F2967" w:rsidP="00EC3AEB">
      <w:pPr>
        <w:ind w:left="288" w:hanging="288"/>
        <w:rPr>
          <w:bCs/>
        </w:rPr>
      </w:pPr>
    </w:p>
    <w:p w14:paraId="7C5CEF5C" w14:textId="77777777" w:rsidR="00EC3AEB" w:rsidRDefault="00EC3AEB" w:rsidP="002F2967">
      <w:pPr>
        <w:ind w:left="288" w:hanging="288"/>
        <w:rPr>
          <w:bCs/>
        </w:rPr>
      </w:pPr>
      <w:proofErr w:type="spellStart"/>
      <w:r w:rsidRPr="002F2967">
        <w:rPr>
          <w:bCs/>
        </w:rPr>
        <w:t>Beringer</w:t>
      </w:r>
      <w:proofErr w:type="spellEnd"/>
      <w:r w:rsidRPr="002F2967">
        <w:rPr>
          <w:bCs/>
        </w:rPr>
        <w:t xml:space="preserve">, D.B., Ball, J.D., and Haworth, L.A. (2007). Control-force-exertion limits and comparisons with pilot and </w:t>
      </w:r>
      <w:proofErr w:type="spellStart"/>
      <w:r w:rsidRPr="002F2967">
        <w:rPr>
          <w:bCs/>
        </w:rPr>
        <w:t>nonpilot</w:t>
      </w:r>
      <w:proofErr w:type="spellEnd"/>
      <w:r w:rsidRPr="002F2967">
        <w:rPr>
          <w:bCs/>
        </w:rPr>
        <w:t xml:space="preserve"> populations. In Proceedings of the 2007 International Symposium on Aviation Psychology, 31-37. </w:t>
      </w:r>
    </w:p>
    <w:p w14:paraId="1457A518" w14:textId="77777777" w:rsidR="002F2967" w:rsidRPr="002F2967" w:rsidRDefault="002F2967" w:rsidP="002F2967">
      <w:pPr>
        <w:ind w:left="288" w:hanging="288"/>
        <w:rPr>
          <w:bCs/>
        </w:rPr>
      </w:pPr>
    </w:p>
    <w:p w14:paraId="01654930" w14:textId="77777777" w:rsidR="001F1D6A" w:rsidRDefault="001F1D6A" w:rsidP="001F1D6A">
      <w:pPr>
        <w:ind w:left="288" w:hanging="288"/>
        <w:rPr>
          <w:bCs/>
        </w:rPr>
      </w:pPr>
      <w:proofErr w:type="spellStart"/>
      <w:r w:rsidRPr="002F2967">
        <w:rPr>
          <w:bCs/>
        </w:rPr>
        <w:t>Beringer</w:t>
      </w:r>
      <w:proofErr w:type="spellEnd"/>
      <w:r w:rsidRPr="002F2967">
        <w:rPr>
          <w:bCs/>
        </w:rPr>
        <w:t xml:space="preserve">, D.B. (2008).  An updating of data regarding the forces pilots can apply in the cockpit, Part II:  Yoke, rudder, stick, and seatbelt-release forces.  In </w:t>
      </w:r>
      <w:r w:rsidRPr="002F2967">
        <w:rPr>
          <w:bCs/>
          <w:i/>
        </w:rPr>
        <w:t>Proceedings of the 51</w:t>
      </w:r>
      <w:r w:rsidRPr="002F2967">
        <w:rPr>
          <w:bCs/>
          <w:i/>
          <w:vertAlign w:val="superscript"/>
        </w:rPr>
        <w:t>st</w:t>
      </w:r>
      <w:r w:rsidRPr="002F2967">
        <w:rPr>
          <w:bCs/>
          <w:i/>
        </w:rPr>
        <w:t xml:space="preserve"> Annual meeting of the Human Factors &amp; Ergonomics Society</w:t>
      </w:r>
      <w:r w:rsidRPr="002F2967">
        <w:rPr>
          <w:bCs/>
        </w:rPr>
        <w:t>, 64-68.</w:t>
      </w:r>
    </w:p>
    <w:p w14:paraId="25B56425" w14:textId="77777777" w:rsidR="002F2967" w:rsidRPr="002F2967" w:rsidRDefault="002F2967" w:rsidP="001F1D6A">
      <w:pPr>
        <w:ind w:left="288" w:hanging="288"/>
        <w:rPr>
          <w:bCs/>
        </w:rPr>
      </w:pPr>
    </w:p>
    <w:p w14:paraId="3ACFB1A4" w14:textId="77777777" w:rsidR="002F2967" w:rsidRDefault="001F1D6A" w:rsidP="001F1D6A">
      <w:pPr>
        <w:ind w:left="288" w:hanging="288"/>
        <w:rPr>
          <w:bCs/>
        </w:rPr>
      </w:pPr>
      <w:proofErr w:type="spellStart"/>
      <w:r w:rsidRPr="002F2967">
        <w:rPr>
          <w:bCs/>
        </w:rPr>
        <w:t>Beringer</w:t>
      </w:r>
      <w:proofErr w:type="spellEnd"/>
      <w:r w:rsidRPr="002F2967">
        <w:rPr>
          <w:bCs/>
        </w:rPr>
        <w:t xml:space="preserve">, D.B. (2009).  Control-force inputs obtained from pilots and </w:t>
      </w:r>
      <w:proofErr w:type="spellStart"/>
      <w:r w:rsidRPr="002F2967">
        <w:rPr>
          <w:bCs/>
        </w:rPr>
        <w:t>nonpilots</w:t>
      </w:r>
      <w:proofErr w:type="spellEnd"/>
      <w:r w:rsidRPr="002F2967">
        <w:rPr>
          <w:bCs/>
        </w:rPr>
        <w:t xml:space="preserve"> (flight attendants): Comparison with established handbook distributions of performance.  In </w:t>
      </w:r>
      <w:r w:rsidRPr="002F2967">
        <w:rPr>
          <w:bCs/>
          <w:i/>
        </w:rPr>
        <w:t>Proceedings of the 2009 International Symposium on Aviation Psychology</w:t>
      </w:r>
      <w:r w:rsidRPr="002F2967">
        <w:rPr>
          <w:bCs/>
        </w:rPr>
        <w:t>, 431-436.</w:t>
      </w:r>
    </w:p>
    <w:p w14:paraId="4CDEA985" w14:textId="77777777" w:rsidR="001F1D6A" w:rsidRPr="002F2967" w:rsidRDefault="001F1D6A" w:rsidP="001F1D6A">
      <w:pPr>
        <w:ind w:left="288" w:hanging="288"/>
        <w:rPr>
          <w:bCs/>
        </w:rPr>
      </w:pPr>
      <w:r w:rsidRPr="002F2967">
        <w:rPr>
          <w:bCs/>
        </w:rPr>
        <w:t xml:space="preserve"> </w:t>
      </w:r>
    </w:p>
    <w:p w14:paraId="151A39AC" w14:textId="77777777" w:rsidR="00652C89" w:rsidRDefault="00652C89" w:rsidP="00652C89">
      <w:pPr>
        <w:ind w:left="288" w:hanging="288"/>
        <w:rPr>
          <w:bCs/>
        </w:rPr>
      </w:pPr>
      <w:r w:rsidRPr="002F2967">
        <w:rPr>
          <w:bCs/>
        </w:rPr>
        <w:t>Department of Defense (1991). </w:t>
      </w:r>
      <w:r w:rsidRPr="002F2967">
        <w:rPr>
          <w:bCs/>
          <w:i/>
          <w:iCs/>
        </w:rPr>
        <w:t>Anthropometry of U. S. Military Personnel. Department of Defense Document No</w:t>
      </w:r>
      <w:r w:rsidRPr="002F2967">
        <w:rPr>
          <w:bCs/>
        </w:rPr>
        <w:t xml:space="preserve">. DOD-HDBK-743A. </w:t>
      </w:r>
    </w:p>
    <w:p w14:paraId="2A23339B" w14:textId="77777777" w:rsidR="002F2967" w:rsidRPr="002F2967" w:rsidRDefault="002F2967" w:rsidP="001F1D6A">
      <w:pPr>
        <w:ind w:left="288" w:hanging="288"/>
        <w:rPr>
          <w:bCs/>
        </w:rPr>
      </w:pPr>
    </w:p>
    <w:p w14:paraId="237F9D06" w14:textId="77777777" w:rsidR="002F2967" w:rsidRDefault="002F2967" w:rsidP="002F2967">
      <w:pPr>
        <w:autoSpaceDE w:val="0"/>
        <w:autoSpaceDN w:val="0"/>
        <w:adjustRightInd w:val="0"/>
      </w:pPr>
      <w:r w:rsidRPr="002F2967">
        <w:t xml:space="preserve">Federal Aviation Administration (2011). FAA Advisory Circular 00-63C Aviation Safety Reporting Program. </w:t>
      </w:r>
    </w:p>
    <w:p w14:paraId="71B7AF3E" w14:textId="77777777" w:rsidR="002F2967" w:rsidRPr="002F2967" w:rsidRDefault="002F2967" w:rsidP="002F2967">
      <w:pPr>
        <w:autoSpaceDE w:val="0"/>
        <w:autoSpaceDN w:val="0"/>
        <w:adjustRightInd w:val="0"/>
      </w:pPr>
      <w:r>
        <w:tab/>
      </w:r>
      <w:r w:rsidRPr="002F2967">
        <w:t>Washington, DC: Federal Aviation Administration. Retrieved</w:t>
      </w:r>
      <w:r>
        <w:t xml:space="preserve"> </w:t>
      </w:r>
      <w:r w:rsidRPr="002F2967">
        <w:t xml:space="preserve">from </w:t>
      </w:r>
      <w:r w:rsidRPr="007576C7">
        <w:t>http://faa.rgl.gov/</w:t>
      </w:r>
    </w:p>
    <w:p w14:paraId="2ECAC2FA" w14:textId="77777777" w:rsidR="002F2967" w:rsidRDefault="002F2967" w:rsidP="002F2967"/>
    <w:p w14:paraId="33A6C890" w14:textId="77777777" w:rsidR="00A37FC5" w:rsidRDefault="00A37FC5" w:rsidP="00A37FC5">
      <w:pPr>
        <w:pStyle w:val="Default"/>
        <w:rPr>
          <w:sz w:val="20"/>
          <w:szCs w:val="20"/>
        </w:rPr>
      </w:pPr>
      <w:r w:rsidRPr="00A37FC5">
        <w:rPr>
          <w:sz w:val="20"/>
          <w:szCs w:val="20"/>
        </w:rPr>
        <w:t>Federal Aviation Admi</w:t>
      </w:r>
      <w:r>
        <w:rPr>
          <w:sz w:val="20"/>
          <w:szCs w:val="20"/>
        </w:rPr>
        <w:t>ni</w:t>
      </w:r>
      <w:r w:rsidRPr="00A37FC5">
        <w:rPr>
          <w:sz w:val="20"/>
          <w:szCs w:val="20"/>
        </w:rPr>
        <w:t>st</w:t>
      </w:r>
      <w:r>
        <w:rPr>
          <w:sz w:val="20"/>
          <w:szCs w:val="20"/>
        </w:rPr>
        <w:t>r</w:t>
      </w:r>
      <w:r w:rsidRPr="00A37FC5">
        <w:rPr>
          <w:sz w:val="20"/>
          <w:szCs w:val="20"/>
        </w:rPr>
        <w:t>ation (2012). FAA Advisory Circular 25-7C Flight Test Gui</w:t>
      </w:r>
      <w:r>
        <w:rPr>
          <w:sz w:val="20"/>
          <w:szCs w:val="20"/>
        </w:rPr>
        <w:t xml:space="preserve">de for Certification of </w:t>
      </w:r>
    </w:p>
    <w:p w14:paraId="20690AB1" w14:textId="77777777" w:rsidR="00A37FC5" w:rsidRDefault="00A37FC5" w:rsidP="00A37FC5">
      <w:pPr>
        <w:pStyle w:val="Default"/>
        <w:ind w:left="720"/>
        <w:rPr>
          <w:sz w:val="20"/>
          <w:szCs w:val="20"/>
        </w:rPr>
      </w:pPr>
      <w:r>
        <w:rPr>
          <w:sz w:val="20"/>
          <w:szCs w:val="20"/>
        </w:rPr>
        <w:lastRenderedPageBreak/>
        <w:t>Transpo</w:t>
      </w:r>
      <w:r w:rsidRPr="00A37FC5">
        <w:rPr>
          <w:sz w:val="20"/>
          <w:szCs w:val="20"/>
        </w:rPr>
        <w:t>rt Category Airplanes</w:t>
      </w:r>
      <w:r>
        <w:rPr>
          <w:sz w:val="20"/>
          <w:szCs w:val="20"/>
        </w:rPr>
        <w:t>.</w:t>
      </w:r>
      <w:r w:rsidRPr="00A37FC5">
        <w:rPr>
          <w:sz w:val="20"/>
          <w:szCs w:val="20"/>
        </w:rPr>
        <w:t xml:space="preserve"> Washington, DC: Federal Aviation Administration. Retrieved from </w:t>
      </w:r>
      <w:r w:rsidR="00882705" w:rsidRPr="00734361">
        <w:rPr>
          <w:sz w:val="20"/>
          <w:szCs w:val="20"/>
        </w:rPr>
        <w:t>http://faa.rgl.gov/</w:t>
      </w:r>
    </w:p>
    <w:p w14:paraId="78CBDBA0" w14:textId="77777777" w:rsidR="00882705" w:rsidRDefault="00882705" w:rsidP="00A37FC5">
      <w:pPr>
        <w:pStyle w:val="Default"/>
        <w:ind w:left="720"/>
        <w:rPr>
          <w:sz w:val="20"/>
          <w:szCs w:val="20"/>
        </w:rPr>
      </w:pPr>
    </w:p>
    <w:p w14:paraId="3FB57339" w14:textId="77777777" w:rsidR="00882705" w:rsidRDefault="00882705" w:rsidP="00882705">
      <w:pPr>
        <w:pStyle w:val="Default"/>
        <w:rPr>
          <w:sz w:val="20"/>
          <w:szCs w:val="20"/>
        </w:rPr>
      </w:pPr>
      <w:r w:rsidRPr="00A37FC5">
        <w:rPr>
          <w:sz w:val="20"/>
          <w:szCs w:val="20"/>
        </w:rPr>
        <w:t>Federal Aviation Admi</w:t>
      </w:r>
      <w:r>
        <w:rPr>
          <w:sz w:val="20"/>
          <w:szCs w:val="20"/>
        </w:rPr>
        <w:t>ni</w:t>
      </w:r>
      <w:r w:rsidRPr="00A37FC5">
        <w:rPr>
          <w:sz w:val="20"/>
          <w:szCs w:val="20"/>
        </w:rPr>
        <w:t>st</w:t>
      </w:r>
      <w:r>
        <w:rPr>
          <w:sz w:val="20"/>
          <w:szCs w:val="20"/>
        </w:rPr>
        <w:t>ration (2011</w:t>
      </w:r>
      <w:r w:rsidRPr="00A37FC5">
        <w:rPr>
          <w:sz w:val="20"/>
          <w:szCs w:val="20"/>
        </w:rPr>
        <w:t>). FAA Advisory Circular</w:t>
      </w:r>
      <w:r>
        <w:rPr>
          <w:sz w:val="20"/>
          <w:szCs w:val="20"/>
        </w:rPr>
        <w:t xml:space="preserve"> 23-8</w:t>
      </w:r>
      <w:r w:rsidRPr="00A37FC5">
        <w:rPr>
          <w:sz w:val="20"/>
          <w:szCs w:val="20"/>
        </w:rPr>
        <w:t>C Flight Test Gui</w:t>
      </w:r>
      <w:r>
        <w:rPr>
          <w:sz w:val="20"/>
          <w:szCs w:val="20"/>
        </w:rPr>
        <w:t xml:space="preserve">de for Certification of </w:t>
      </w:r>
    </w:p>
    <w:p w14:paraId="2F123357" w14:textId="77777777" w:rsidR="00882705" w:rsidRPr="00A37FC5" w:rsidRDefault="00882705" w:rsidP="00882705">
      <w:pPr>
        <w:pStyle w:val="Default"/>
        <w:ind w:left="720"/>
        <w:rPr>
          <w:sz w:val="20"/>
          <w:szCs w:val="20"/>
        </w:rPr>
      </w:pPr>
      <w:r>
        <w:rPr>
          <w:sz w:val="20"/>
          <w:szCs w:val="20"/>
        </w:rPr>
        <w:t xml:space="preserve">Part </w:t>
      </w:r>
      <w:proofErr w:type="gramStart"/>
      <w:r>
        <w:rPr>
          <w:sz w:val="20"/>
          <w:szCs w:val="20"/>
        </w:rPr>
        <w:t xml:space="preserve">23 </w:t>
      </w:r>
      <w:r w:rsidRPr="00A37FC5">
        <w:rPr>
          <w:sz w:val="20"/>
          <w:szCs w:val="20"/>
        </w:rPr>
        <w:t xml:space="preserve"> Airplanes</w:t>
      </w:r>
      <w:proofErr w:type="gramEnd"/>
      <w:r>
        <w:rPr>
          <w:sz w:val="20"/>
          <w:szCs w:val="20"/>
        </w:rPr>
        <w:t>.</w:t>
      </w:r>
      <w:r w:rsidRPr="00A37FC5">
        <w:rPr>
          <w:sz w:val="20"/>
          <w:szCs w:val="20"/>
        </w:rPr>
        <w:t xml:space="preserve"> Washington, DC: Federal Aviation Administration. Retrieved from http://faa.rgl.gov/</w:t>
      </w:r>
    </w:p>
    <w:p w14:paraId="68485E14" w14:textId="77777777" w:rsidR="00882705" w:rsidRPr="00A37FC5" w:rsidRDefault="00882705" w:rsidP="00A37FC5">
      <w:pPr>
        <w:pStyle w:val="Default"/>
        <w:ind w:left="720"/>
        <w:rPr>
          <w:sz w:val="20"/>
          <w:szCs w:val="20"/>
        </w:rPr>
      </w:pPr>
    </w:p>
    <w:p w14:paraId="3B4E1E6D" w14:textId="77777777" w:rsidR="00516BE0" w:rsidRDefault="00516BE0" w:rsidP="00516BE0">
      <w:r w:rsidRPr="00516BE0">
        <w:t xml:space="preserve">Gordon, C. C., Blackwell, C. L., </w:t>
      </w:r>
      <w:proofErr w:type="spellStart"/>
      <w:r w:rsidRPr="00516BE0">
        <w:t>Bradtmiller</w:t>
      </w:r>
      <w:proofErr w:type="spellEnd"/>
      <w:r w:rsidRPr="00516BE0">
        <w:t xml:space="preserve">, B., Parham, J. L., Hall, R. M., Paquette, S. P., ... &amp; Anderson, D. R. </w:t>
      </w:r>
    </w:p>
    <w:p w14:paraId="3EF20A6C" w14:textId="77777777" w:rsidR="00516BE0" w:rsidRPr="00516BE0" w:rsidRDefault="00516BE0" w:rsidP="00516BE0">
      <w:pPr>
        <w:ind w:left="720"/>
      </w:pPr>
      <w:r w:rsidRPr="00516BE0">
        <w:t xml:space="preserve">(2012). </w:t>
      </w:r>
      <w:r w:rsidRPr="00516BE0">
        <w:rPr>
          <w:i/>
          <w:iCs/>
        </w:rPr>
        <w:t>Anthropometric Survey of US Army Personnel (ANSUR II): Methods and Summary Statistics</w:t>
      </w:r>
      <w:r w:rsidRPr="00516BE0">
        <w:t xml:space="preserve">. Technical Report (In Press) Natick, MA: US Army Natick Research, Development and Engineering Center. </w:t>
      </w:r>
      <w:r w:rsidRPr="00516BE0">
        <w:rPr>
          <w:i/>
          <w:iCs/>
        </w:rPr>
        <w:t>http://www.dtic.mil/cgi-bin/GetTRDoc?AD=ADA611869</w:t>
      </w:r>
    </w:p>
    <w:p w14:paraId="6686AE5E" w14:textId="77777777" w:rsidR="00516BE0" w:rsidRPr="00516BE0" w:rsidRDefault="00516BE0" w:rsidP="00516BE0">
      <w:r w:rsidRPr="00516BE0">
        <w:t> </w:t>
      </w:r>
    </w:p>
    <w:p w14:paraId="57DC43E2" w14:textId="77777777" w:rsidR="002F2967" w:rsidRDefault="00EC3AEB" w:rsidP="00EC3AEB">
      <w:pPr>
        <w:rPr>
          <w:i/>
          <w:iCs/>
        </w:rPr>
      </w:pPr>
      <w:proofErr w:type="spellStart"/>
      <w:r w:rsidRPr="00EC3AEB">
        <w:t>Hasbrook</w:t>
      </w:r>
      <w:proofErr w:type="spellEnd"/>
      <w:r w:rsidRPr="00EC3AEB">
        <w:t xml:space="preserve">, A. H., Snow, C. C., Karim, B., </w:t>
      </w:r>
      <w:proofErr w:type="spellStart"/>
      <w:r w:rsidRPr="00EC3AEB">
        <w:t>Bergey</w:t>
      </w:r>
      <w:proofErr w:type="spellEnd"/>
      <w:r w:rsidRPr="00EC3AEB">
        <w:t xml:space="preserve">, K. H., &amp; Chandler, R. F. (1972). </w:t>
      </w:r>
      <w:r w:rsidRPr="00EC3AEB">
        <w:rPr>
          <w:i/>
          <w:iCs/>
        </w:rPr>
        <w:t xml:space="preserve">A Preliminary Study of Maximal </w:t>
      </w:r>
    </w:p>
    <w:p w14:paraId="382518FB" w14:textId="77777777" w:rsidR="00EC3AEB" w:rsidRDefault="00EC3AEB" w:rsidP="002F2967">
      <w:pPr>
        <w:ind w:left="288"/>
      </w:pPr>
      <w:r w:rsidRPr="00EC3AEB">
        <w:rPr>
          <w:i/>
          <w:iCs/>
        </w:rPr>
        <w:t>Control Force Capability of</w:t>
      </w:r>
      <w:r w:rsidRPr="002F2967">
        <w:rPr>
          <w:i/>
          <w:iCs/>
        </w:rPr>
        <w:t xml:space="preserve"> </w:t>
      </w:r>
      <w:r w:rsidRPr="00EC3AEB">
        <w:rPr>
          <w:i/>
          <w:iCs/>
        </w:rPr>
        <w:t>Female Pilots</w:t>
      </w:r>
      <w:r w:rsidRPr="00EC3AEB">
        <w:t xml:space="preserve">. </w:t>
      </w:r>
      <w:r w:rsidRPr="002F2967">
        <w:t>Federal Aviation Administration Oklahoma City OK Civil Aeromedical Inst.</w:t>
      </w:r>
    </w:p>
    <w:p w14:paraId="023C33E6" w14:textId="77777777" w:rsidR="00652C89" w:rsidRDefault="00652C89" w:rsidP="00652C89">
      <w:pPr>
        <w:ind w:left="288"/>
      </w:pPr>
    </w:p>
    <w:p w14:paraId="5A9FA272" w14:textId="77777777" w:rsidR="00516BE0" w:rsidRDefault="00516BE0" w:rsidP="00516BE0">
      <w:pPr>
        <w:rPr>
          <w:i/>
          <w:iCs/>
        </w:rPr>
      </w:pPr>
      <w:r w:rsidRPr="00516BE0">
        <w:rPr>
          <w:iCs/>
        </w:rPr>
        <w:t xml:space="preserve">Hertzberg, H. T. E., &amp; Burke, F. E. (1971). Foot forces exerted at various aircraft brake-pedal angles. </w:t>
      </w:r>
      <w:r w:rsidRPr="00516BE0">
        <w:rPr>
          <w:i/>
          <w:iCs/>
        </w:rPr>
        <w:t>Human</w:t>
      </w:r>
    </w:p>
    <w:p w14:paraId="3927C97B" w14:textId="77777777" w:rsidR="00516BE0" w:rsidRPr="00516BE0" w:rsidRDefault="00516BE0" w:rsidP="00516BE0">
      <w:pPr>
        <w:ind w:firstLine="720"/>
        <w:rPr>
          <w:iCs/>
        </w:rPr>
      </w:pPr>
      <w:r w:rsidRPr="00516BE0">
        <w:rPr>
          <w:i/>
          <w:iCs/>
        </w:rPr>
        <w:t xml:space="preserve"> Factors: The Journal of the Human Factors and Ergonomics Society</w:t>
      </w:r>
      <w:r w:rsidRPr="00516BE0">
        <w:rPr>
          <w:iCs/>
        </w:rPr>
        <w:t xml:space="preserve">, </w:t>
      </w:r>
      <w:r w:rsidRPr="00516BE0">
        <w:rPr>
          <w:i/>
          <w:iCs/>
        </w:rPr>
        <w:t>13</w:t>
      </w:r>
      <w:r w:rsidRPr="00516BE0">
        <w:rPr>
          <w:iCs/>
        </w:rPr>
        <w:t>(5), 445-456.</w:t>
      </w:r>
    </w:p>
    <w:p w14:paraId="46694AE6" w14:textId="77777777" w:rsidR="00516BE0" w:rsidRPr="00516BE0" w:rsidRDefault="00516BE0" w:rsidP="00516BE0">
      <w:pPr>
        <w:rPr>
          <w:iCs/>
        </w:rPr>
      </w:pPr>
      <w:r w:rsidRPr="00516BE0">
        <w:rPr>
          <w:iCs/>
        </w:rPr>
        <w:t> </w:t>
      </w:r>
    </w:p>
    <w:p w14:paraId="506B43E1" w14:textId="77777777" w:rsidR="00516BE0" w:rsidRDefault="00516BE0" w:rsidP="00516BE0">
      <w:pPr>
        <w:rPr>
          <w:iCs/>
        </w:rPr>
      </w:pPr>
      <w:proofErr w:type="spellStart"/>
      <w:r w:rsidRPr="00516BE0">
        <w:rPr>
          <w:iCs/>
        </w:rPr>
        <w:t>Kroemer</w:t>
      </w:r>
      <w:proofErr w:type="spellEnd"/>
      <w:r w:rsidRPr="00516BE0">
        <w:rPr>
          <w:iCs/>
        </w:rPr>
        <w:t xml:space="preserve">, K. H. (1971). </w:t>
      </w:r>
      <w:r w:rsidRPr="00516BE0">
        <w:rPr>
          <w:i/>
          <w:iCs/>
        </w:rPr>
        <w:t>Foot Operation of Controls</w:t>
      </w:r>
      <w:r w:rsidRPr="00516BE0">
        <w:rPr>
          <w:iCs/>
        </w:rPr>
        <w:t>. Air Force Aerospace Medical Research Lab</w:t>
      </w:r>
    </w:p>
    <w:p w14:paraId="3E17DEE9" w14:textId="77777777" w:rsidR="00516BE0" w:rsidRPr="00516BE0" w:rsidRDefault="00516BE0" w:rsidP="00516BE0">
      <w:pPr>
        <w:ind w:firstLine="720"/>
        <w:rPr>
          <w:iCs/>
        </w:rPr>
      </w:pPr>
      <w:r>
        <w:rPr>
          <w:iCs/>
        </w:rPr>
        <w:t xml:space="preserve"> Wright-Patterson AFB OH</w:t>
      </w:r>
      <w:r w:rsidRPr="00516BE0">
        <w:rPr>
          <w:iCs/>
        </w:rPr>
        <w:t>.</w:t>
      </w:r>
    </w:p>
    <w:p w14:paraId="34CF781F" w14:textId="77777777" w:rsidR="00516BE0" w:rsidRDefault="00516BE0" w:rsidP="00652C89">
      <w:pPr>
        <w:rPr>
          <w:iCs/>
        </w:rPr>
      </w:pPr>
    </w:p>
    <w:p w14:paraId="1640112F" w14:textId="77777777" w:rsidR="00652C89" w:rsidRDefault="00652C89" w:rsidP="00652C89">
      <w:pPr>
        <w:rPr>
          <w:i/>
          <w:iCs/>
        </w:rPr>
      </w:pPr>
      <w:proofErr w:type="spellStart"/>
      <w:r w:rsidRPr="00652C89">
        <w:rPr>
          <w:iCs/>
        </w:rPr>
        <w:t>Joslin</w:t>
      </w:r>
      <w:proofErr w:type="spellEnd"/>
      <w:r w:rsidRPr="00652C89">
        <w:rPr>
          <w:iCs/>
        </w:rPr>
        <w:t xml:space="preserve">, R. E. (2014, September). Examination of Anthropometric Databases for Aircraft Design. In </w:t>
      </w:r>
      <w:r w:rsidRPr="00652C89">
        <w:rPr>
          <w:i/>
          <w:iCs/>
        </w:rPr>
        <w:t xml:space="preserve">Proceedings of </w:t>
      </w:r>
    </w:p>
    <w:p w14:paraId="32DFFC56" w14:textId="77777777" w:rsidR="00652C89" w:rsidRDefault="00652C89" w:rsidP="00652C89">
      <w:pPr>
        <w:rPr>
          <w:iCs/>
        </w:rPr>
      </w:pPr>
      <w:r>
        <w:rPr>
          <w:i/>
          <w:iCs/>
        </w:rPr>
        <w:t xml:space="preserve">    </w:t>
      </w:r>
      <w:r w:rsidRPr="00652C89">
        <w:rPr>
          <w:i/>
          <w:iCs/>
        </w:rPr>
        <w:t>the Human Factors and Ergonomics Society Annual Meeting</w:t>
      </w:r>
      <w:r w:rsidRPr="00652C89">
        <w:rPr>
          <w:iCs/>
        </w:rPr>
        <w:t xml:space="preserve"> (Vol. 58, No. 1, pp. 1-5). SAGE Publications.</w:t>
      </w:r>
    </w:p>
    <w:p w14:paraId="55E034ED" w14:textId="77777777" w:rsidR="00DF62DA" w:rsidRDefault="00DF62DA" w:rsidP="00652C89">
      <w:pPr>
        <w:rPr>
          <w:iCs/>
        </w:rPr>
      </w:pPr>
    </w:p>
    <w:p w14:paraId="155B3F18" w14:textId="77777777" w:rsidR="00DF62DA" w:rsidRPr="00DF62DA" w:rsidRDefault="00DF62DA" w:rsidP="00DF62DA">
      <w:pPr>
        <w:rPr>
          <w:iCs/>
        </w:rPr>
      </w:pPr>
      <w:proofErr w:type="spellStart"/>
      <w:r w:rsidRPr="00DF62DA">
        <w:rPr>
          <w:iCs/>
        </w:rPr>
        <w:t>Joslin</w:t>
      </w:r>
      <w:proofErr w:type="spellEnd"/>
      <w:r w:rsidRPr="00DF62DA">
        <w:rPr>
          <w:iCs/>
        </w:rPr>
        <w:t>, R.</w:t>
      </w:r>
      <w:r>
        <w:rPr>
          <w:iCs/>
        </w:rPr>
        <w:t xml:space="preserve"> (April 2017).</w:t>
      </w:r>
      <w:r w:rsidRPr="00DF62DA">
        <w:rPr>
          <w:iCs/>
        </w:rPr>
        <w:t xml:space="preserve"> “The Force Awakens”, </w:t>
      </w:r>
      <w:r w:rsidRPr="00DF62DA">
        <w:rPr>
          <w:i/>
          <w:iCs/>
        </w:rPr>
        <w:t>Aerospace-Royal Aeronautical Society</w:t>
      </w:r>
      <w:r w:rsidRPr="00DF62DA">
        <w:rPr>
          <w:iCs/>
        </w:rPr>
        <w:t>, pp. 24-25</w:t>
      </w:r>
    </w:p>
    <w:p w14:paraId="68902AC6" w14:textId="77777777" w:rsidR="002F2967" w:rsidRPr="00EC3AEB" w:rsidRDefault="002F2967" w:rsidP="002F2967">
      <w:pPr>
        <w:ind w:left="288"/>
      </w:pPr>
    </w:p>
    <w:p w14:paraId="7DC5CA76" w14:textId="77777777" w:rsidR="00840D03" w:rsidRDefault="00840D03" w:rsidP="00652C89">
      <w:pPr>
        <w:ind w:left="288" w:hanging="288"/>
      </w:pPr>
      <w:r w:rsidRPr="00840D03">
        <w:t xml:space="preserve">McDaniel, J. W. (1995). Strength capability for operating aircraft controls. </w:t>
      </w:r>
      <w:r w:rsidRPr="00840D03">
        <w:rPr>
          <w:i/>
          <w:iCs/>
        </w:rPr>
        <w:t>Safe Journal</w:t>
      </w:r>
      <w:r w:rsidRPr="00840D03">
        <w:t xml:space="preserve">, </w:t>
      </w:r>
      <w:r w:rsidRPr="00840D03">
        <w:rPr>
          <w:i/>
          <w:iCs/>
        </w:rPr>
        <w:t>25</w:t>
      </w:r>
      <w:r w:rsidRPr="00840D03">
        <w:t>(1), 28-34.</w:t>
      </w:r>
    </w:p>
    <w:p w14:paraId="27F51D96" w14:textId="77777777" w:rsidR="002F2967" w:rsidRPr="00840D03" w:rsidRDefault="002F2967" w:rsidP="00840D03"/>
    <w:p w14:paraId="017CBBC4" w14:textId="77777777" w:rsidR="001F1D6A" w:rsidRDefault="001F1D6A" w:rsidP="001F1D6A">
      <w:pPr>
        <w:ind w:left="288" w:hanging="288"/>
        <w:rPr>
          <w:bCs/>
        </w:rPr>
      </w:pPr>
      <w:r w:rsidRPr="002F2967">
        <w:rPr>
          <w:bCs/>
        </w:rPr>
        <w:t>McDaniel, J. W. (1981). </w:t>
      </w:r>
      <w:r w:rsidRPr="002F2967">
        <w:rPr>
          <w:bCs/>
          <w:i/>
          <w:iCs/>
        </w:rPr>
        <w:t>Male and female strength capabilities for operating aircraft controls</w:t>
      </w:r>
      <w:r w:rsidRPr="002F2967">
        <w:rPr>
          <w:bCs/>
        </w:rPr>
        <w:t xml:space="preserve"> (No. AFAMRL-TR-81-39). Air Force Aerospace Medical Research Lab Wright-Patterson AFB OH </w:t>
      </w:r>
    </w:p>
    <w:p w14:paraId="293C117E" w14:textId="77777777" w:rsidR="002F2967" w:rsidRPr="002F2967" w:rsidRDefault="002F2967" w:rsidP="001F1D6A">
      <w:pPr>
        <w:ind w:left="288" w:hanging="288"/>
        <w:rPr>
          <w:bCs/>
        </w:rPr>
      </w:pPr>
    </w:p>
    <w:p w14:paraId="0077C69A" w14:textId="77777777" w:rsidR="001F1D6A" w:rsidRDefault="001F1D6A" w:rsidP="001F1D6A">
      <w:pPr>
        <w:ind w:left="288" w:hanging="288"/>
        <w:rPr>
          <w:bCs/>
        </w:rPr>
      </w:pPr>
      <w:r w:rsidRPr="002F2967">
        <w:rPr>
          <w:bCs/>
        </w:rPr>
        <w:t xml:space="preserve">Meyer, L.G., </w:t>
      </w:r>
      <w:proofErr w:type="spellStart"/>
      <w:r w:rsidRPr="002F2967">
        <w:rPr>
          <w:bCs/>
        </w:rPr>
        <w:t>Pokorski</w:t>
      </w:r>
      <w:proofErr w:type="spellEnd"/>
      <w:r w:rsidRPr="002F2967">
        <w:rPr>
          <w:bCs/>
        </w:rPr>
        <w:t xml:space="preserve">, B.E., and </w:t>
      </w:r>
      <w:proofErr w:type="spellStart"/>
      <w:r w:rsidRPr="002F2967">
        <w:rPr>
          <w:bCs/>
        </w:rPr>
        <w:t>Ortel</w:t>
      </w:r>
      <w:proofErr w:type="spellEnd"/>
      <w:r w:rsidRPr="002F2967">
        <w:rPr>
          <w:bCs/>
        </w:rPr>
        <w:t>, J.L. (1996). Muscular strength and anthropometric characteristics of male and female naval aviation candidates. Pensacola, FL:  Naval Aerospace Medical Research Laboratory, Technical Report NAMRL-1396.</w:t>
      </w:r>
    </w:p>
    <w:p w14:paraId="0E0AA6ED" w14:textId="77777777" w:rsidR="002F2967" w:rsidRPr="002F2967" w:rsidRDefault="002F2967" w:rsidP="001F1D6A">
      <w:pPr>
        <w:ind w:left="288" w:hanging="288"/>
        <w:rPr>
          <w:bCs/>
        </w:rPr>
      </w:pPr>
    </w:p>
    <w:p w14:paraId="49B28AEF" w14:textId="77777777" w:rsidR="001F1D6A" w:rsidRDefault="001F1D6A" w:rsidP="001F1D6A">
      <w:pPr>
        <w:ind w:left="288" w:hanging="288"/>
        <w:rPr>
          <w:bCs/>
        </w:rPr>
      </w:pPr>
      <w:r w:rsidRPr="002F2967">
        <w:rPr>
          <w:bCs/>
        </w:rPr>
        <w:t>Mil-Std-1472G (2012).  Department of Defense Design Criteria Standard:  Human Engineering.  Springfield, VA: NTIS, MIL-STD-1472G.</w:t>
      </w:r>
    </w:p>
    <w:p w14:paraId="6188BC54" w14:textId="77777777" w:rsidR="002F2967" w:rsidRPr="002F2967" w:rsidRDefault="002F2967" w:rsidP="001F1D6A">
      <w:pPr>
        <w:ind w:left="288" w:hanging="288"/>
        <w:rPr>
          <w:bCs/>
        </w:rPr>
      </w:pPr>
    </w:p>
    <w:p w14:paraId="55ADC39F" w14:textId="77777777" w:rsidR="0096004F" w:rsidRDefault="0096004F" w:rsidP="0096004F">
      <w:pPr>
        <w:ind w:left="288" w:hanging="288"/>
        <w:rPr>
          <w:bCs/>
        </w:rPr>
      </w:pPr>
      <w:r w:rsidRPr="0096004F">
        <w:rPr>
          <w:bCs/>
        </w:rPr>
        <w:t>National Transportation Safety Board (NTSB)</w:t>
      </w:r>
      <w:r>
        <w:rPr>
          <w:bCs/>
        </w:rPr>
        <w:t xml:space="preserve"> (2009</w:t>
      </w:r>
      <w:r w:rsidRPr="0096004F">
        <w:rPr>
          <w:bCs/>
        </w:rPr>
        <w:t xml:space="preserve">). </w:t>
      </w:r>
      <w:r w:rsidRPr="0096004F">
        <w:rPr>
          <w:bCs/>
          <w:i/>
        </w:rPr>
        <w:t xml:space="preserve"> Loss of Control and Crash Marlin Air Cessna Citation 550, N550BPMilwaukee, Wisconsin June 4, 2007 -accident report </w:t>
      </w:r>
      <w:r w:rsidRPr="0096004F">
        <w:rPr>
          <w:bCs/>
        </w:rPr>
        <w:t>(</w:t>
      </w:r>
      <w:r>
        <w:rPr>
          <w:bCs/>
        </w:rPr>
        <w:t>NTSB/AAR-09-06</w:t>
      </w:r>
      <w:r w:rsidRPr="0096004F">
        <w:rPr>
          <w:bCs/>
        </w:rPr>
        <w:t xml:space="preserve">).  Retrieved from </w:t>
      </w:r>
      <w:r w:rsidRPr="00734361">
        <w:t>http://www/ntsb.gov</w:t>
      </w:r>
    </w:p>
    <w:p w14:paraId="06369431" w14:textId="77777777" w:rsidR="0096004F" w:rsidRDefault="0096004F" w:rsidP="0096004F">
      <w:pPr>
        <w:ind w:left="288" w:hanging="288"/>
        <w:rPr>
          <w:bCs/>
        </w:rPr>
      </w:pPr>
    </w:p>
    <w:p w14:paraId="76DFBEB7" w14:textId="77777777" w:rsidR="0096004F" w:rsidRPr="0096004F" w:rsidRDefault="0096004F" w:rsidP="0096004F">
      <w:pPr>
        <w:ind w:left="288" w:hanging="288"/>
        <w:rPr>
          <w:bCs/>
          <w:i/>
        </w:rPr>
      </w:pPr>
      <w:r w:rsidRPr="0096004F">
        <w:rPr>
          <w:bCs/>
        </w:rPr>
        <w:t>National Transportation Safety Board (NTSB)</w:t>
      </w:r>
      <w:r w:rsidR="003756D9">
        <w:rPr>
          <w:bCs/>
        </w:rPr>
        <w:t xml:space="preserve"> (2007</w:t>
      </w:r>
      <w:r w:rsidRPr="0096004F">
        <w:rPr>
          <w:bCs/>
        </w:rPr>
        <w:t xml:space="preserve">).  </w:t>
      </w:r>
      <w:r w:rsidRPr="0096004F">
        <w:rPr>
          <w:bCs/>
          <w:i/>
        </w:rPr>
        <w:t>Safety recommendation letter to</w:t>
      </w:r>
      <w:r w:rsidR="003756D9">
        <w:rPr>
          <w:bCs/>
          <w:i/>
        </w:rPr>
        <w:t xml:space="preserve"> </w:t>
      </w:r>
      <w:r w:rsidRPr="0096004F">
        <w:rPr>
          <w:bCs/>
          <w:i/>
        </w:rPr>
        <w:t xml:space="preserve">the FAA administrator </w:t>
      </w:r>
      <w:r w:rsidRPr="0096004F">
        <w:rPr>
          <w:bCs/>
        </w:rPr>
        <w:t>(</w:t>
      </w:r>
      <w:r w:rsidR="003756D9">
        <w:rPr>
          <w:bCs/>
        </w:rPr>
        <w:t>A-07-52 through 54</w:t>
      </w:r>
      <w:r w:rsidRPr="0096004F">
        <w:rPr>
          <w:bCs/>
        </w:rPr>
        <w:t>).</w:t>
      </w:r>
      <w:r w:rsidRPr="0096004F">
        <w:rPr>
          <w:bCs/>
          <w:i/>
        </w:rPr>
        <w:t xml:space="preserve">  </w:t>
      </w:r>
      <w:r w:rsidRPr="0096004F">
        <w:rPr>
          <w:bCs/>
        </w:rPr>
        <w:t>Retrieved from http://www.ntsb.gov</w:t>
      </w:r>
    </w:p>
    <w:p w14:paraId="00A4650D" w14:textId="77777777" w:rsidR="0096004F" w:rsidRDefault="0096004F" w:rsidP="0096004F">
      <w:pPr>
        <w:ind w:left="288" w:hanging="288"/>
        <w:rPr>
          <w:bCs/>
        </w:rPr>
      </w:pPr>
    </w:p>
    <w:p w14:paraId="3DC54CDC" w14:textId="77777777" w:rsidR="004025BF" w:rsidRDefault="004025BF" w:rsidP="00F25CE7">
      <w:pPr>
        <w:ind w:left="288" w:hanging="288"/>
        <w:rPr>
          <w:bCs/>
        </w:rPr>
      </w:pPr>
      <w:r>
        <w:rPr>
          <w:bCs/>
        </w:rPr>
        <w:t xml:space="preserve">Society of Automotive </w:t>
      </w:r>
      <w:r w:rsidRPr="004025BF">
        <w:rPr>
          <w:bCs/>
        </w:rPr>
        <w:t xml:space="preserve">Engineers </w:t>
      </w:r>
      <w:r>
        <w:rPr>
          <w:bCs/>
        </w:rPr>
        <w:t>(</w:t>
      </w:r>
      <w:r w:rsidRPr="004025BF">
        <w:rPr>
          <w:bCs/>
        </w:rPr>
        <w:t>SAE</w:t>
      </w:r>
      <w:r>
        <w:rPr>
          <w:bCs/>
        </w:rPr>
        <w:t>)</w:t>
      </w:r>
      <w:r w:rsidRPr="004025BF">
        <w:rPr>
          <w:bCs/>
        </w:rPr>
        <w:t xml:space="preserve"> ARP 5764-Aerospace Active Inceptor Systems for Aircraft Flight and Engine Controls  </w:t>
      </w:r>
    </w:p>
    <w:p w14:paraId="5522630C" w14:textId="77777777" w:rsidR="004025BF" w:rsidRDefault="004025BF" w:rsidP="00F25CE7">
      <w:pPr>
        <w:ind w:left="288" w:hanging="288"/>
        <w:rPr>
          <w:bCs/>
        </w:rPr>
      </w:pPr>
    </w:p>
    <w:p w14:paraId="233EA179" w14:textId="77777777" w:rsidR="004025BF" w:rsidRDefault="004025BF" w:rsidP="00F25CE7">
      <w:pPr>
        <w:ind w:left="288" w:hanging="288"/>
        <w:rPr>
          <w:bCs/>
        </w:rPr>
      </w:pPr>
      <w:r>
        <w:rPr>
          <w:bCs/>
        </w:rPr>
        <w:t xml:space="preserve">Society of Automotive </w:t>
      </w:r>
      <w:r w:rsidRPr="004025BF">
        <w:rPr>
          <w:bCs/>
        </w:rPr>
        <w:t>Engineers</w:t>
      </w:r>
      <w:r>
        <w:rPr>
          <w:bCs/>
        </w:rPr>
        <w:t xml:space="preserve"> (SAE) </w:t>
      </w:r>
      <w:r w:rsidRPr="004025BF">
        <w:rPr>
          <w:bCs/>
        </w:rPr>
        <w:t>ARP 6001 Aerospace - Passive Side Stick Unit General Requirements for Fly by Wire Transport and Business</w:t>
      </w:r>
    </w:p>
    <w:p w14:paraId="34C557D4" w14:textId="77777777" w:rsidR="004025BF" w:rsidRPr="004025BF" w:rsidRDefault="004025BF" w:rsidP="00F25CE7">
      <w:pPr>
        <w:ind w:left="288" w:hanging="288"/>
        <w:rPr>
          <w:bCs/>
        </w:rPr>
      </w:pPr>
    </w:p>
    <w:p w14:paraId="11C734B0" w14:textId="77777777" w:rsidR="00F25CE7" w:rsidRPr="002F2967" w:rsidRDefault="00F25CE7" w:rsidP="00F25CE7">
      <w:pPr>
        <w:ind w:left="288" w:hanging="288"/>
        <w:rPr>
          <w:bCs/>
        </w:rPr>
      </w:pPr>
      <w:r w:rsidRPr="002F2967">
        <w:rPr>
          <w:bCs/>
        </w:rPr>
        <w:t xml:space="preserve">Specification, M. (1954). MIL-F-8785 (ASG). </w:t>
      </w:r>
      <w:r w:rsidRPr="002F2967">
        <w:rPr>
          <w:bCs/>
          <w:i/>
          <w:iCs/>
        </w:rPr>
        <w:t>Flying Qualities of Piloted Airplanes</w:t>
      </w:r>
      <w:r w:rsidRPr="002F2967">
        <w:rPr>
          <w:bCs/>
        </w:rPr>
        <w:t xml:space="preserve">, </w:t>
      </w:r>
      <w:r w:rsidRPr="002F2967">
        <w:rPr>
          <w:bCs/>
          <w:i/>
          <w:iCs/>
        </w:rPr>
        <w:t>1</w:t>
      </w:r>
      <w:r w:rsidRPr="002F2967">
        <w:rPr>
          <w:bCs/>
        </w:rPr>
        <w:t>.</w:t>
      </w:r>
    </w:p>
    <w:sectPr w:rsidR="00F25CE7" w:rsidRPr="002F2967" w:rsidSect="001271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C9B6E" w14:textId="77777777" w:rsidR="00B53AD6" w:rsidRDefault="00B53AD6" w:rsidP="0066623B">
      <w:r>
        <w:separator/>
      </w:r>
    </w:p>
  </w:endnote>
  <w:endnote w:type="continuationSeparator" w:id="0">
    <w:p w14:paraId="39F2D6B3" w14:textId="77777777" w:rsidR="00B53AD6" w:rsidRDefault="00B53AD6" w:rsidP="0066623B">
      <w:r>
        <w:continuationSeparator/>
      </w:r>
    </w:p>
  </w:endnote>
  <w:endnote w:id="1">
    <w:p w14:paraId="69AEAE3A" w14:textId="77777777" w:rsidR="001C2F54" w:rsidRDefault="001C2F54" w:rsidP="001C2F54">
      <w:pPr>
        <w:pStyle w:val="EndnoteText"/>
      </w:pPr>
      <w:r>
        <w:rPr>
          <w:rStyle w:val="EndnoteReference"/>
        </w:rPr>
        <w:endnoteRef/>
      </w:r>
      <w:r>
        <w:t xml:space="preserve"> </w:t>
      </w:r>
      <w:r w:rsidRPr="002F2967">
        <w:rPr>
          <w:sz w:val="16"/>
          <w:szCs w:val="16"/>
        </w:rPr>
        <w:t>The Aviation Safety Reporting System is administered by the National Aeronautics and Space Administration (NASA) through a memorandum of agreement with the FAA and was designed to encourage voluntary self-reporting by pilots of anomalous aviation events</w:t>
      </w:r>
    </w:p>
  </w:endnote>
  <w:endnote w:id="2">
    <w:p w14:paraId="6D5EE818" w14:textId="77777777" w:rsidR="00911F9B" w:rsidRDefault="00911F9B">
      <w:pPr>
        <w:pStyle w:val="EndnoteText"/>
      </w:pPr>
      <w:r>
        <w:rPr>
          <w:rStyle w:val="EndnoteReference"/>
        </w:rPr>
        <w:endnoteRef/>
      </w:r>
      <w:r>
        <w:t xml:space="preserve"> </w:t>
      </w:r>
      <w:r w:rsidRPr="005C514C">
        <w:rPr>
          <w:sz w:val="16"/>
          <w:szCs w:val="16"/>
        </w:rPr>
        <w:t>Notice of Airworthiness Review Program No. 6; Notice No</w:t>
      </w:r>
      <w:r w:rsidRPr="00277AC4">
        <w:rPr>
          <w:color w:val="000000" w:themeColor="text1"/>
          <w:sz w:val="16"/>
          <w:szCs w:val="16"/>
        </w:rPr>
        <w:t xml:space="preserve">. </w:t>
      </w:r>
      <w:hyperlink r:id="rId1" w:history="1">
        <w:r w:rsidRPr="00277AC4">
          <w:rPr>
            <w:rStyle w:val="Hyperlink"/>
            <w:color w:val="000000" w:themeColor="text1"/>
            <w:sz w:val="16"/>
            <w:szCs w:val="16"/>
          </w:rPr>
          <w:t>75-25</w:t>
        </w:r>
      </w:hyperlink>
      <w:r w:rsidRPr="00277AC4">
        <w:rPr>
          <w:color w:val="000000" w:themeColor="text1"/>
          <w:sz w:val="16"/>
          <w:szCs w:val="16"/>
        </w:rPr>
        <w:t>; Issued on 05/29/75.</w:t>
      </w:r>
    </w:p>
  </w:endnote>
  <w:endnote w:id="3">
    <w:p w14:paraId="6CFAD8AD" w14:textId="77777777" w:rsidR="00911F9B" w:rsidRDefault="00911F9B">
      <w:pPr>
        <w:pStyle w:val="EndnoteText"/>
      </w:pPr>
      <w:r>
        <w:rPr>
          <w:rStyle w:val="EndnoteReference"/>
        </w:rPr>
        <w:endnoteRef/>
      </w:r>
      <w:r>
        <w:t xml:space="preserve"> </w:t>
      </w:r>
      <w:r w:rsidRPr="00277AC4">
        <w:rPr>
          <w:color w:val="000000" w:themeColor="text1"/>
          <w:sz w:val="16"/>
          <w:szCs w:val="16"/>
        </w:rPr>
        <w:t xml:space="preserve">Notice of Proposed Rulemaking. Notice No. </w:t>
      </w:r>
      <w:hyperlink r:id="rId2" w:history="1">
        <w:r w:rsidRPr="00277AC4">
          <w:rPr>
            <w:rStyle w:val="Hyperlink"/>
            <w:color w:val="000000" w:themeColor="text1"/>
            <w:sz w:val="16"/>
            <w:szCs w:val="16"/>
          </w:rPr>
          <w:t>94-15</w:t>
        </w:r>
      </w:hyperlink>
      <w:r w:rsidRPr="00277AC4">
        <w:rPr>
          <w:color w:val="000000" w:themeColor="text1"/>
          <w:sz w:val="16"/>
          <w:szCs w:val="16"/>
        </w:rPr>
        <w:t>; Issued on 04/11/94</w:t>
      </w:r>
    </w:p>
  </w:endnote>
  <w:endnote w:id="4">
    <w:p w14:paraId="6E575DB4" w14:textId="77777777" w:rsidR="00911F9B" w:rsidRDefault="00911F9B">
      <w:pPr>
        <w:pStyle w:val="EndnoteText"/>
      </w:pPr>
      <w:r>
        <w:rPr>
          <w:rStyle w:val="EndnoteReference"/>
        </w:rPr>
        <w:endnoteRef/>
      </w:r>
      <w:r>
        <w:t xml:space="preserve"> </w:t>
      </w:r>
      <w:r w:rsidRPr="00DF62DA">
        <w:rPr>
          <w:sz w:val="16"/>
          <w:szCs w:val="16"/>
        </w:rPr>
        <w:t xml:space="preserve">SAE </w:t>
      </w:r>
      <w:r w:rsidRPr="00DF62DA">
        <w:rPr>
          <w:bCs/>
          <w:sz w:val="16"/>
          <w:szCs w:val="16"/>
        </w:rPr>
        <w:t>ARP 6001 §2.2.1 Inceptors. A device that is used to provide pilot control inputs and covers a variety of aircraft pilot controls: side sticks, center sticks, pedals, engine controls and rotorcraft cyclic and collective controls</w:t>
      </w:r>
    </w:p>
  </w:endnote>
  <w:endnote w:id="5">
    <w:p w14:paraId="28B2C225" w14:textId="77777777" w:rsidR="00502E7D" w:rsidRPr="00502E7D" w:rsidRDefault="00502E7D">
      <w:pPr>
        <w:pStyle w:val="EndnoteText"/>
        <w:rPr>
          <w:sz w:val="16"/>
          <w:szCs w:val="16"/>
        </w:rPr>
      </w:pPr>
      <w:r w:rsidRPr="00502E7D">
        <w:rPr>
          <w:rStyle w:val="EndnoteReference"/>
          <w:sz w:val="16"/>
          <w:szCs w:val="16"/>
        </w:rPr>
        <w:endnoteRef/>
      </w:r>
      <w:r w:rsidR="00F35F57">
        <w:rPr>
          <w:sz w:val="16"/>
          <w:szCs w:val="16"/>
        </w:rPr>
        <w:t xml:space="preserve"> Pilot </w:t>
      </w:r>
      <w:r w:rsidR="00C967E2">
        <w:rPr>
          <w:sz w:val="16"/>
          <w:szCs w:val="16"/>
        </w:rPr>
        <w:t xml:space="preserve">Limit </w:t>
      </w:r>
      <w:r w:rsidRPr="00502E7D">
        <w:rPr>
          <w:sz w:val="16"/>
          <w:szCs w:val="16"/>
        </w:rPr>
        <w:t>Forces</w:t>
      </w:r>
      <w:r w:rsidR="000D51ED">
        <w:rPr>
          <w:sz w:val="16"/>
          <w:szCs w:val="16"/>
        </w:rPr>
        <w:t xml:space="preserve"> are the</w:t>
      </w:r>
      <w:r w:rsidR="000D51ED" w:rsidRPr="000D51ED">
        <w:rPr>
          <w:rFonts w:ascii="Arial" w:hAnsi="Arial" w:cs="Arial"/>
          <w:color w:val="000000"/>
        </w:rPr>
        <w:t xml:space="preserve"> </w:t>
      </w:r>
      <w:r w:rsidR="00993706">
        <w:rPr>
          <w:sz w:val="16"/>
          <w:szCs w:val="16"/>
        </w:rPr>
        <w:t>de</w:t>
      </w:r>
      <w:r w:rsidR="000D51ED" w:rsidRPr="000D51ED">
        <w:rPr>
          <w:sz w:val="16"/>
          <w:szCs w:val="16"/>
        </w:rPr>
        <w:t xml:space="preserve">sign loads </w:t>
      </w:r>
      <w:r w:rsidR="00993706">
        <w:rPr>
          <w:sz w:val="16"/>
          <w:szCs w:val="16"/>
        </w:rPr>
        <w:t>that</w:t>
      </w:r>
      <w:r w:rsidR="000D51ED" w:rsidRPr="000D51ED">
        <w:rPr>
          <w:sz w:val="16"/>
          <w:szCs w:val="16"/>
        </w:rPr>
        <w:t xml:space="preserve"> must be used in required structural tests and in any structural strength analysis of the control systems submitted in compliance with other rules</w:t>
      </w:r>
      <w:r w:rsidR="00993706">
        <w:rPr>
          <w:sz w:val="16"/>
          <w:szCs w:val="16"/>
        </w:rPr>
        <w:t xml:space="preserve"> as well as o</w:t>
      </w:r>
      <w:r w:rsidR="000D51ED" w:rsidRPr="000D51ED">
        <w:rPr>
          <w:sz w:val="16"/>
          <w:szCs w:val="16"/>
        </w:rPr>
        <w:t>peration tests of the control system</w:t>
      </w:r>
      <w:r w:rsidR="00F35F57">
        <w:rPr>
          <w:sz w:val="16"/>
          <w:szCs w:val="16"/>
        </w:rPr>
        <w:t>s noted in other rules. FAA AC 29.397</w:t>
      </w:r>
    </w:p>
  </w:endnote>
  <w:endnote w:id="6">
    <w:p w14:paraId="6CCED3BD" w14:textId="77777777" w:rsidR="00911F9B" w:rsidRDefault="00911F9B">
      <w:pPr>
        <w:pStyle w:val="EndnoteText"/>
      </w:pPr>
      <w:r>
        <w:rPr>
          <w:rStyle w:val="EndnoteReference"/>
        </w:rPr>
        <w:endnoteRef/>
      </w:r>
      <w:r>
        <w:t xml:space="preserve"> </w:t>
      </w:r>
      <w:r w:rsidRPr="00277AC4">
        <w:rPr>
          <w:color w:val="000000" w:themeColor="text1"/>
          <w:sz w:val="16"/>
          <w:szCs w:val="16"/>
        </w:rPr>
        <w:t xml:space="preserve">Notice of Airworthiness Review Program No. 2; Notice No. </w:t>
      </w:r>
      <w:hyperlink r:id="rId3" w:history="1">
        <w:r w:rsidRPr="00277AC4">
          <w:rPr>
            <w:rStyle w:val="Hyperlink"/>
            <w:color w:val="000000" w:themeColor="text1"/>
            <w:sz w:val="16"/>
            <w:szCs w:val="16"/>
          </w:rPr>
          <w:t>75-10;</w:t>
        </w:r>
      </w:hyperlink>
      <w:r w:rsidRPr="00277AC4">
        <w:rPr>
          <w:color w:val="000000" w:themeColor="text1"/>
          <w:sz w:val="16"/>
          <w:szCs w:val="16"/>
        </w:rPr>
        <w:t xml:space="preserve"> Issued on 2/27/75.</w:t>
      </w:r>
    </w:p>
  </w:endnote>
  <w:endnote w:id="7">
    <w:p w14:paraId="559DF2BE" w14:textId="77777777" w:rsidR="00966525" w:rsidRDefault="00966525" w:rsidP="00966525">
      <w:pPr>
        <w:pStyle w:val="EndnoteText"/>
      </w:pPr>
      <w:r>
        <w:rPr>
          <w:rStyle w:val="EndnoteReference"/>
        </w:rPr>
        <w:endnoteRef/>
      </w:r>
      <w:r>
        <w:t xml:space="preserve"> </w:t>
      </w:r>
      <w:r w:rsidRPr="00966525">
        <w:rPr>
          <w:iCs/>
          <w:sz w:val="16"/>
          <w:szCs w:val="16"/>
        </w:rPr>
        <w:t>U.S. Federal Register- Airworthiness Review Program, Volume 40, Number 12, p. 24808, June 10, 1975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25416"/>
      <w:docPartObj>
        <w:docPartGallery w:val="Page Numbers (Bottom of Page)"/>
        <w:docPartUnique/>
      </w:docPartObj>
    </w:sdtPr>
    <w:sdtEndPr>
      <w:rPr>
        <w:noProof/>
      </w:rPr>
    </w:sdtEndPr>
    <w:sdtContent>
      <w:p w14:paraId="5B81961C" w14:textId="77777777" w:rsidR="00AD298C" w:rsidRDefault="00AD298C">
        <w:pPr>
          <w:pStyle w:val="Footer"/>
          <w:jc w:val="center"/>
        </w:pPr>
        <w:r>
          <w:fldChar w:fldCharType="begin"/>
        </w:r>
        <w:r>
          <w:instrText xml:space="preserve"> PAGE   \* MERGEFORMAT </w:instrText>
        </w:r>
        <w:r>
          <w:fldChar w:fldCharType="separate"/>
        </w:r>
        <w:r w:rsidR="00D76D37">
          <w:rPr>
            <w:noProof/>
          </w:rPr>
          <w:t>1</w:t>
        </w:r>
        <w:r>
          <w:rPr>
            <w:noProof/>
          </w:rPr>
          <w:fldChar w:fldCharType="end"/>
        </w:r>
      </w:p>
    </w:sdtContent>
  </w:sdt>
  <w:p w14:paraId="15689EEB" w14:textId="77777777" w:rsidR="00AD298C" w:rsidRDefault="00AD29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077E" w14:textId="77777777" w:rsidR="00B53AD6" w:rsidRDefault="00B53AD6" w:rsidP="0066623B">
      <w:r>
        <w:separator/>
      </w:r>
    </w:p>
  </w:footnote>
  <w:footnote w:type="continuationSeparator" w:id="0">
    <w:p w14:paraId="4EF7F992" w14:textId="77777777" w:rsidR="00B53AD6" w:rsidRDefault="00B53AD6" w:rsidP="006662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06026"/>
    <w:multiLevelType w:val="multilevel"/>
    <w:tmpl w:val="9AD66B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5B813E24"/>
    <w:multiLevelType w:val="hybridMultilevel"/>
    <w:tmpl w:val="EEF81F4A"/>
    <w:lvl w:ilvl="0" w:tplc="15407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6C65A9"/>
    <w:multiLevelType w:val="hybridMultilevel"/>
    <w:tmpl w:val="8C74D00A"/>
    <w:lvl w:ilvl="0" w:tplc="DEDC3F0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6A"/>
    <w:rsid w:val="0000131C"/>
    <w:rsid w:val="00023381"/>
    <w:rsid w:val="00077B9D"/>
    <w:rsid w:val="000903A7"/>
    <w:rsid w:val="0009516C"/>
    <w:rsid w:val="000B4D56"/>
    <w:rsid w:val="000D090A"/>
    <w:rsid w:val="000D51ED"/>
    <w:rsid w:val="000D7D90"/>
    <w:rsid w:val="00113B15"/>
    <w:rsid w:val="00127108"/>
    <w:rsid w:val="00145F26"/>
    <w:rsid w:val="001628B1"/>
    <w:rsid w:val="001656BB"/>
    <w:rsid w:val="00170A4F"/>
    <w:rsid w:val="001958FD"/>
    <w:rsid w:val="001A3475"/>
    <w:rsid w:val="001A4D6F"/>
    <w:rsid w:val="001A633D"/>
    <w:rsid w:val="001B0588"/>
    <w:rsid w:val="001B4A39"/>
    <w:rsid w:val="001C0C5F"/>
    <w:rsid w:val="001C2F54"/>
    <w:rsid w:val="001E7D4D"/>
    <w:rsid w:val="001F1D6A"/>
    <w:rsid w:val="00220C2C"/>
    <w:rsid w:val="00230466"/>
    <w:rsid w:val="00277AC4"/>
    <w:rsid w:val="002865AB"/>
    <w:rsid w:val="002E4537"/>
    <w:rsid w:val="002F2967"/>
    <w:rsid w:val="002F6BF1"/>
    <w:rsid w:val="003357C6"/>
    <w:rsid w:val="00360394"/>
    <w:rsid w:val="00360DC7"/>
    <w:rsid w:val="003756D9"/>
    <w:rsid w:val="00384354"/>
    <w:rsid w:val="003A07AF"/>
    <w:rsid w:val="003B7082"/>
    <w:rsid w:val="003B7367"/>
    <w:rsid w:val="003C365D"/>
    <w:rsid w:val="00400645"/>
    <w:rsid w:val="004025BF"/>
    <w:rsid w:val="004064D4"/>
    <w:rsid w:val="0040652C"/>
    <w:rsid w:val="00410274"/>
    <w:rsid w:val="00436C96"/>
    <w:rsid w:val="004412DB"/>
    <w:rsid w:val="004653C2"/>
    <w:rsid w:val="004A7758"/>
    <w:rsid w:val="004C0AC3"/>
    <w:rsid w:val="00502E7D"/>
    <w:rsid w:val="00514D13"/>
    <w:rsid w:val="00516BE0"/>
    <w:rsid w:val="0053476F"/>
    <w:rsid w:val="005639E5"/>
    <w:rsid w:val="005910B2"/>
    <w:rsid w:val="005C0347"/>
    <w:rsid w:val="005C2B19"/>
    <w:rsid w:val="005C41D9"/>
    <w:rsid w:val="005C514C"/>
    <w:rsid w:val="005E3DC2"/>
    <w:rsid w:val="005F084A"/>
    <w:rsid w:val="00604089"/>
    <w:rsid w:val="0061572F"/>
    <w:rsid w:val="00635E5C"/>
    <w:rsid w:val="006373CF"/>
    <w:rsid w:val="00642D8F"/>
    <w:rsid w:val="006444F4"/>
    <w:rsid w:val="00652C89"/>
    <w:rsid w:val="0066623B"/>
    <w:rsid w:val="006728F4"/>
    <w:rsid w:val="006742D5"/>
    <w:rsid w:val="006C3E8D"/>
    <w:rsid w:val="006C7C47"/>
    <w:rsid w:val="006E7FC6"/>
    <w:rsid w:val="00715AF8"/>
    <w:rsid w:val="00732881"/>
    <w:rsid w:val="00734361"/>
    <w:rsid w:val="007576C7"/>
    <w:rsid w:val="00762E2D"/>
    <w:rsid w:val="00771BDF"/>
    <w:rsid w:val="00774D71"/>
    <w:rsid w:val="00781D0B"/>
    <w:rsid w:val="00785126"/>
    <w:rsid w:val="007A1A9E"/>
    <w:rsid w:val="007C2F76"/>
    <w:rsid w:val="007C7F6F"/>
    <w:rsid w:val="007D3A10"/>
    <w:rsid w:val="007D7411"/>
    <w:rsid w:val="007F465A"/>
    <w:rsid w:val="00800179"/>
    <w:rsid w:val="00801FC5"/>
    <w:rsid w:val="00815FA9"/>
    <w:rsid w:val="00825EE8"/>
    <w:rsid w:val="0083131D"/>
    <w:rsid w:val="0083208B"/>
    <w:rsid w:val="00840D03"/>
    <w:rsid w:val="00844373"/>
    <w:rsid w:val="00877EDF"/>
    <w:rsid w:val="00882705"/>
    <w:rsid w:val="0088442E"/>
    <w:rsid w:val="008850AE"/>
    <w:rsid w:val="008872D5"/>
    <w:rsid w:val="00896F22"/>
    <w:rsid w:val="008B29EC"/>
    <w:rsid w:val="008F63A6"/>
    <w:rsid w:val="0090463A"/>
    <w:rsid w:val="00911F9B"/>
    <w:rsid w:val="00913624"/>
    <w:rsid w:val="00915360"/>
    <w:rsid w:val="0092112C"/>
    <w:rsid w:val="0094477F"/>
    <w:rsid w:val="0095029A"/>
    <w:rsid w:val="009530A2"/>
    <w:rsid w:val="00953C28"/>
    <w:rsid w:val="009570FC"/>
    <w:rsid w:val="0096004F"/>
    <w:rsid w:val="0096651F"/>
    <w:rsid w:val="00966525"/>
    <w:rsid w:val="00973E85"/>
    <w:rsid w:val="00975593"/>
    <w:rsid w:val="00977777"/>
    <w:rsid w:val="00993706"/>
    <w:rsid w:val="009A247B"/>
    <w:rsid w:val="009C2790"/>
    <w:rsid w:val="009C3C1C"/>
    <w:rsid w:val="009D661E"/>
    <w:rsid w:val="009E3EAA"/>
    <w:rsid w:val="00A3510A"/>
    <w:rsid w:val="00A37FC5"/>
    <w:rsid w:val="00A413A2"/>
    <w:rsid w:val="00A5009A"/>
    <w:rsid w:val="00A9531D"/>
    <w:rsid w:val="00AC0EAD"/>
    <w:rsid w:val="00AC4004"/>
    <w:rsid w:val="00AD298C"/>
    <w:rsid w:val="00AE3C4D"/>
    <w:rsid w:val="00AE729F"/>
    <w:rsid w:val="00B063B4"/>
    <w:rsid w:val="00B358CA"/>
    <w:rsid w:val="00B53AD6"/>
    <w:rsid w:val="00B53C1B"/>
    <w:rsid w:val="00B54A80"/>
    <w:rsid w:val="00B60B8B"/>
    <w:rsid w:val="00B7334A"/>
    <w:rsid w:val="00B93B8E"/>
    <w:rsid w:val="00B93CB8"/>
    <w:rsid w:val="00BB3730"/>
    <w:rsid w:val="00BB771B"/>
    <w:rsid w:val="00C10F58"/>
    <w:rsid w:val="00C120A4"/>
    <w:rsid w:val="00C1362A"/>
    <w:rsid w:val="00C16F81"/>
    <w:rsid w:val="00C44901"/>
    <w:rsid w:val="00C57833"/>
    <w:rsid w:val="00C71BEE"/>
    <w:rsid w:val="00C7234E"/>
    <w:rsid w:val="00C77A2D"/>
    <w:rsid w:val="00C91210"/>
    <w:rsid w:val="00C967E2"/>
    <w:rsid w:val="00CA7157"/>
    <w:rsid w:val="00CB6836"/>
    <w:rsid w:val="00CC60CC"/>
    <w:rsid w:val="00CE2AE5"/>
    <w:rsid w:val="00CE5B9D"/>
    <w:rsid w:val="00CF6687"/>
    <w:rsid w:val="00D239B4"/>
    <w:rsid w:val="00D623DC"/>
    <w:rsid w:val="00D66B27"/>
    <w:rsid w:val="00D76D37"/>
    <w:rsid w:val="00D816E3"/>
    <w:rsid w:val="00DA232A"/>
    <w:rsid w:val="00DB2B32"/>
    <w:rsid w:val="00DD40C9"/>
    <w:rsid w:val="00DD51E6"/>
    <w:rsid w:val="00DF05C6"/>
    <w:rsid w:val="00DF2CB1"/>
    <w:rsid w:val="00DF468B"/>
    <w:rsid w:val="00DF62DA"/>
    <w:rsid w:val="00E02DB0"/>
    <w:rsid w:val="00E0621D"/>
    <w:rsid w:val="00E11634"/>
    <w:rsid w:val="00E1736D"/>
    <w:rsid w:val="00E2465D"/>
    <w:rsid w:val="00E24B6F"/>
    <w:rsid w:val="00E34537"/>
    <w:rsid w:val="00E34DF9"/>
    <w:rsid w:val="00E54AF2"/>
    <w:rsid w:val="00E878F1"/>
    <w:rsid w:val="00EA705B"/>
    <w:rsid w:val="00EC3AEB"/>
    <w:rsid w:val="00EC4A35"/>
    <w:rsid w:val="00ED3D9C"/>
    <w:rsid w:val="00ED3E3E"/>
    <w:rsid w:val="00ED72B0"/>
    <w:rsid w:val="00EE0027"/>
    <w:rsid w:val="00EF3F96"/>
    <w:rsid w:val="00F11F67"/>
    <w:rsid w:val="00F153DC"/>
    <w:rsid w:val="00F23339"/>
    <w:rsid w:val="00F25CE7"/>
    <w:rsid w:val="00F33980"/>
    <w:rsid w:val="00F35F57"/>
    <w:rsid w:val="00F4309C"/>
    <w:rsid w:val="00F654FC"/>
    <w:rsid w:val="00F70C5C"/>
    <w:rsid w:val="00F80737"/>
    <w:rsid w:val="00F83961"/>
    <w:rsid w:val="00FA71D3"/>
    <w:rsid w:val="00FB5F84"/>
    <w:rsid w:val="00FC0C07"/>
    <w:rsid w:val="00FE1BAC"/>
    <w:rsid w:val="00FE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01A8"/>
  <w15:docId w15:val="{F0621B63-306B-499A-9BA4-D2D55FE0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6A"/>
  </w:style>
  <w:style w:type="paragraph" w:styleId="Heading1">
    <w:name w:val="heading 1"/>
    <w:basedOn w:val="Normal"/>
    <w:next w:val="Normal"/>
    <w:link w:val="Heading1Char"/>
    <w:qFormat/>
    <w:rsid w:val="006742D5"/>
    <w:pPr>
      <w:keepNext/>
      <w:numPr>
        <w:numId w:val="9"/>
      </w:numPr>
      <w:tabs>
        <w:tab w:val="left" w:pos="1440"/>
      </w:tabs>
      <w:spacing w:before="240" w:after="60"/>
      <w:outlineLvl w:val="0"/>
    </w:pPr>
    <w:rPr>
      <w:b/>
    </w:rPr>
  </w:style>
  <w:style w:type="paragraph" w:styleId="Heading2">
    <w:name w:val="heading 2"/>
    <w:basedOn w:val="Heading1"/>
    <w:next w:val="Normal"/>
    <w:link w:val="Heading2Char"/>
    <w:qFormat/>
    <w:rsid w:val="006742D5"/>
    <w:pPr>
      <w:numPr>
        <w:ilvl w:val="1"/>
      </w:numPr>
      <w:outlineLvl w:val="1"/>
    </w:pPr>
  </w:style>
  <w:style w:type="paragraph" w:styleId="Heading3">
    <w:name w:val="heading 3"/>
    <w:basedOn w:val="Heading2"/>
    <w:next w:val="Normal"/>
    <w:link w:val="Heading3Char"/>
    <w:qFormat/>
    <w:rsid w:val="006742D5"/>
    <w:pPr>
      <w:numPr>
        <w:ilvl w:val="2"/>
      </w:numPr>
      <w:outlineLvl w:val="2"/>
    </w:pPr>
  </w:style>
  <w:style w:type="paragraph" w:styleId="Heading4">
    <w:name w:val="heading 4"/>
    <w:basedOn w:val="Heading3"/>
    <w:next w:val="Normal"/>
    <w:link w:val="Heading4Char"/>
    <w:qFormat/>
    <w:rsid w:val="006742D5"/>
    <w:pPr>
      <w:numPr>
        <w:ilvl w:val="3"/>
      </w:numPr>
      <w:outlineLvl w:val="3"/>
    </w:pPr>
  </w:style>
  <w:style w:type="paragraph" w:styleId="Heading5">
    <w:name w:val="heading 5"/>
    <w:basedOn w:val="Heading4"/>
    <w:next w:val="Normal"/>
    <w:link w:val="Heading5Char"/>
    <w:qFormat/>
    <w:rsid w:val="006742D5"/>
    <w:pPr>
      <w:numPr>
        <w:ilvl w:val="4"/>
      </w:numPr>
      <w:outlineLvl w:val="4"/>
    </w:pPr>
  </w:style>
  <w:style w:type="paragraph" w:styleId="Heading6">
    <w:name w:val="heading 6"/>
    <w:basedOn w:val="Heading5"/>
    <w:next w:val="Normal"/>
    <w:link w:val="Heading6Char"/>
    <w:qFormat/>
    <w:rsid w:val="006742D5"/>
    <w:pPr>
      <w:numPr>
        <w:ilvl w:val="5"/>
      </w:numPr>
      <w:outlineLvl w:val="5"/>
    </w:pPr>
  </w:style>
  <w:style w:type="paragraph" w:styleId="Heading7">
    <w:name w:val="heading 7"/>
    <w:basedOn w:val="Heading6"/>
    <w:next w:val="Normal"/>
    <w:link w:val="Heading7Char"/>
    <w:qFormat/>
    <w:rsid w:val="006742D5"/>
    <w:pPr>
      <w:numPr>
        <w:ilvl w:val="6"/>
      </w:numPr>
      <w:outlineLvl w:val="6"/>
    </w:pPr>
  </w:style>
  <w:style w:type="paragraph" w:styleId="Heading8">
    <w:name w:val="heading 8"/>
    <w:basedOn w:val="Heading7"/>
    <w:next w:val="Normal"/>
    <w:link w:val="Heading8Char"/>
    <w:qFormat/>
    <w:rsid w:val="006742D5"/>
    <w:pPr>
      <w:numPr>
        <w:ilvl w:val="7"/>
      </w:numPr>
      <w:tabs>
        <w:tab w:val="clear" w:pos="1440"/>
        <w:tab w:val="left" w:pos="1656"/>
      </w:tabs>
      <w:outlineLvl w:val="7"/>
    </w:pPr>
  </w:style>
  <w:style w:type="paragraph" w:styleId="Heading9">
    <w:name w:val="heading 9"/>
    <w:basedOn w:val="Heading8"/>
    <w:next w:val="Normal"/>
    <w:link w:val="Heading9Char"/>
    <w:qFormat/>
    <w:rsid w:val="006742D5"/>
    <w:pPr>
      <w:numPr>
        <w:ilvl w:val="8"/>
      </w:numPr>
      <w:tabs>
        <w:tab w:val="clear" w:pos="1656"/>
        <w:tab w:val="left" w:pos="187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ITRE2007">
    <w:name w:val="Body Text - MITRE 2007"/>
    <w:link w:val="BodyText-MITRE2007Char"/>
    <w:qFormat/>
    <w:rsid w:val="006742D5"/>
    <w:pPr>
      <w:tabs>
        <w:tab w:val="left" w:pos="720"/>
        <w:tab w:val="left" w:pos="2160"/>
        <w:tab w:val="left" w:pos="3600"/>
        <w:tab w:val="left" w:pos="5040"/>
        <w:tab w:val="left" w:pos="6480"/>
        <w:tab w:val="left" w:pos="7920"/>
      </w:tabs>
      <w:spacing w:after="120"/>
    </w:pPr>
    <w:rPr>
      <w:sz w:val="24"/>
      <w:szCs w:val="24"/>
    </w:rPr>
  </w:style>
  <w:style w:type="character" w:customStyle="1" w:styleId="BodyText-MITRE2007Char">
    <w:name w:val="Body Text - MITRE 2007 Char"/>
    <w:link w:val="BodyText-MITRE2007"/>
    <w:rsid w:val="006742D5"/>
    <w:rPr>
      <w:sz w:val="24"/>
      <w:szCs w:val="24"/>
    </w:rPr>
  </w:style>
  <w:style w:type="character" w:customStyle="1" w:styleId="Heading1Char">
    <w:name w:val="Heading 1 Char"/>
    <w:basedOn w:val="DefaultParagraphFont"/>
    <w:link w:val="Heading1"/>
    <w:rsid w:val="006742D5"/>
    <w:rPr>
      <w:b/>
      <w:sz w:val="22"/>
    </w:rPr>
  </w:style>
  <w:style w:type="character" w:customStyle="1" w:styleId="Heading2Char">
    <w:name w:val="Heading 2 Char"/>
    <w:basedOn w:val="DefaultParagraphFont"/>
    <w:link w:val="Heading2"/>
    <w:rsid w:val="006742D5"/>
    <w:rPr>
      <w:b/>
      <w:sz w:val="22"/>
    </w:rPr>
  </w:style>
  <w:style w:type="character" w:customStyle="1" w:styleId="Heading3Char">
    <w:name w:val="Heading 3 Char"/>
    <w:basedOn w:val="DefaultParagraphFont"/>
    <w:link w:val="Heading3"/>
    <w:rsid w:val="006742D5"/>
    <w:rPr>
      <w:b/>
      <w:sz w:val="22"/>
    </w:rPr>
  </w:style>
  <w:style w:type="character" w:customStyle="1" w:styleId="Heading4Char">
    <w:name w:val="Heading 4 Char"/>
    <w:basedOn w:val="DefaultParagraphFont"/>
    <w:link w:val="Heading4"/>
    <w:rsid w:val="006742D5"/>
    <w:rPr>
      <w:b/>
      <w:sz w:val="22"/>
    </w:rPr>
  </w:style>
  <w:style w:type="character" w:customStyle="1" w:styleId="Heading5Char">
    <w:name w:val="Heading 5 Char"/>
    <w:basedOn w:val="DefaultParagraphFont"/>
    <w:link w:val="Heading5"/>
    <w:rsid w:val="006742D5"/>
    <w:rPr>
      <w:b/>
      <w:sz w:val="22"/>
    </w:rPr>
  </w:style>
  <w:style w:type="character" w:customStyle="1" w:styleId="Heading6Char">
    <w:name w:val="Heading 6 Char"/>
    <w:basedOn w:val="DefaultParagraphFont"/>
    <w:link w:val="Heading6"/>
    <w:rsid w:val="006742D5"/>
    <w:rPr>
      <w:b/>
      <w:sz w:val="22"/>
    </w:rPr>
  </w:style>
  <w:style w:type="character" w:customStyle="1" w:styleId="Heading7Char">
    <w:name w:val="Heading 7 Char"/>
    <w:basedOn w:val="DefaultParagraphFont"/>
    <w:link w:val="Heading7"/>
    <w:rsid w:val="006742D5"/>
    <w:rPr>
      <w:b/>
      <w:sz w:val="22"/>
    </w:rPr>
  </w:style>
  <w:style w:type="character" w:customStyle="1" w:styleId="Heading8Char">
    <w:name w:val="Heading 8 Char"/>
    <w:basedOn w:val="DefaultParagraphFont"/>
    <w:link w:val="Heading8"/>
    <w:rsid w:val="006742D5"/>
    <w:rPr>
      <w:b/>
      <w:sz w:val="22"/>
    </w:rPr>
  </w:style>
  <w:style w:type="character" w:customStyle="1" w:styleId="Heading9Char">
    <w:name w:val="Heading 9 Char"/>
    <w:basedOn w:val="DefaultParagraphFont"/>
    <w:link w:val="Heading9"/>
    <w:rsid w:val="006742D5"/>
    <w:rPr>
      <w:b/>
      <w:sz w:val="22"/>
    </w:rPr>
  </w:style>
  <w:style w:type="paragraph" w:styleId="Caption">
    <w:name w:val="caption"/>
    <w:aliases w:val="Figure Caption - MITRE 2007"/>
    <w:basedOn w:val="Normal"/>
    <w:next w:val="Normal"/>
    <w:link w:val="CaptionChar"/>
    <w:uiPriority w:val="35"/>
    <w:qFormat/>
    <w:rsid w:val="006742D5"/>
    <w:pPr>
      <w:spacing w:before="120" w:after="120"/>
    </w:pPr>
    <w:rPr>
      <w:b/>
    </w:rPr>
  </w:style>
  <w:style w:type="character" w:customStyle="1" w:styleId="CaptionChar">
    <w:name w:val="Caption Char"/>
    <w:aliases w:val="Figure Caption - MITRE 2007 Char"/>
    <w:link w:val="Caption"/>
    <w:uiPriority w:val="35"/>
    <w:rsid w:val="006742D5"/>
    <w:rPr>
      <w:b/>
      <w:sz w:val="22"/>
    </w:rPr>
  </w:style>
  <w:style w:type="paragraph" w:styleId="Title">
    <w:name w:val="Title"/>
    <w:basedOn w:val="Normal"/>
    <w:link w:val="TitleChar"/>
    <w:uiPriority w:val="99"/>
    <w:qFormat/>
    <w:rsid w:val="006742D5"/>
    <w:pPr>
      <w:keepLines/>
      <w:spacing w:before="240"/>
      <w:jc w:val="center"/>
    </w:pPr>
    <w:rPr>
      <w:b/>
      <w:kern w:val="28"/>
      <w:sz w:val="24"/>
    </w:rPr>
  </w:style>
  <w:style w:type="character" w:customStyle="1" w:styleId="TitleChar">
    <w:name w:val="Title Char"/>
    <w:link w:val="Title"/>
    <w:uiPriority w:val="99"/>
    <w:rsid w:val="006742D5"/>
    <w:rPr>
      <w:b/>
      <w:kern w:val="28"/>
      <w:sz w:val="24"/>
    </w:rPr>
  </w:style>
  <w:style w:type="paragraph" w:styleId="Subtitle">
    <w:name w:val="Subtitle"/>
    <w:basedOn w:val="Normal"/>
    <w:link w:val="SubtitleChar"/>
    <w:qFormat/>
    <w:rsid w:val="006742D5"/>
    <w:pPr>
      <w:spacing w:after="60"/>
      <w:jc w:val="center"/>
      <w:outlineLvl w:val="1"/>
    </w:pPr>
    <w:rPr>
      <w:rFonts w:ascii="Arial" w:hAnsi="Arial"/>
      <w:sz w:val="24"/>
    </w:rPr>
  </w:style>
  <w:style w:type="character" w:customStyle="1" w:styleId="SubtitleChar">
    <w:name w:val="Subtitle Char"/>
    <w:basedOn w:val="DefaultParagraphFont"/>
    <w:link w:val="Subtitle"/>
    <w:rsid w:val="006742D5"/>
    <w:rPr>
      <w:rFonts w:ascii="Arial" w:hAnsi="Arial"/>
      <w:sz w:val="24"/>
    </w:rPr>
  </w:style>
  <w:style w:type="paragraph" w:styleId="ListParagraph">
    <w:name w:val="List Paragraph"/>
    <w:basedOn w:val="Normal"/>
    <w:uiPriority w:val="34"/>
    <w:qFormat/>
    <w:rsid w:val="006742D5"/>
    <w:pPr>
      <w:ind w:left="720"/>
    </w:pPr>
  </w:style>
  <w:style w:type="character" w:styleId="BookTitle">
    <w:name w:val="Book Title"/>
    <w:uiPriority w:val="99"/>
    <w:qFormat/>
    <w:rsid w:val="006742D5"/>
    <w:rPr>
      <w:rFonts w:cs="Times New Roman"/>
      <w:b/>
      <w:bCs/>
      <w:smallCaps/>
      <w:spacing w:val="5"/>
    </w:rPr>
  </w:style>
  <w:style w:type="paragraph" w:styleId="TOCHeading">
    <w:name w:val="TOC Heading"/>
    <w:basedOn w:val="Heading1"/>
    <w:next w:val="Normal"/>
    <w:uiPriority w:val="39"/>
    <w:semiHidden/>
    <w:unhideWhenUsed/>
    <w:qFormat/>
    <w:rsid w:val="006742D5"/>
    <w:pPr>
      <w:keepLines/>
      <w:numPr>
        <w:numId w:val="0"/>
      </w:numPr>
      <w:tabs>
        <w:tab w:val="clear" w:pos="144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uiPriority w:val="59"/>
    <w:rsid w:val="001F1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6623B"/>
  </w:style>
  <w:style w:type="character" w:customStyle="1" w:styleId="FootnoteTextChar">
    <w:name w:val="Footnote Text Char"/>
    <w:basedOn w:val="DefaultParagraphFont"/>
    <w:link w:val="FootnoteText"/>
    <w:uiPriority w:val="99"/>
    <w:semiHidden/>
    <w:rsid w:val="0066623B"/>
  </w:style>
  <w:style w:type="character" w:styleId="FootnoteReference">
    <w:name w:val="footnote reference"/>
    <w:basedOn w:val="DefaultParagraphFont"/>
    <w:uiPriority w:val="99"/>
    <w:semiHidden/>
    <w:unhideWhenUsed/>
    <w:rsid w:val="0066623B"/>
    <w:rPr>
      <w:vertAlign w:val="superscript"/>
    </w:rPr>
  </w:style>
  <w:style w:type="character" w:styleId="Hyperlink">
    <w:name w:val="Hyperlink"/>
    <w:basedOn w:val="DefaultParagraphFont"/>
    <w:uiPriority w:val="99"/>
    <w:unhideWhenUsed/>
    <w:rsid w:val="0066623B"/>
    <w:rPr>
      <w:color w:val="0000FF"/>
      <w:u w:val="single"/>
    </w:rPr>
  </w:style>
  <w:style w:type="paragraph" w:styleId="EndnoteText">
    <w:name w:val="endnote text"/>
    <w:basedOn w:val="Normal"/>
    <w:link w:val="EndnoteTextChar"/>
    <w:uiPriority w:val="99"/>
    <w:semiHidden/>
    <w:unhideWhenUsed/>
    <w:rsid w:val="00E11634"/>
  </w:style>
  <w:style w:type="character" w:customStyle="1" w:styleId="EndnoteTextChar">
    <w:name w:val="Endnote Text Char"/>
    <w:basedOn w:val="DefaultParagraphFont"/>
    <w:link w:val="EndnoteText"/>
    <w:uiPriority w:val="99"/>
    <w:semiHidden/>
    <w:rsid w:val="00E11634"/>
  </w:style>
  <w:style w:type="character" w:styleId="EndnoteReference">
    <w:name w:val="endnote reference"/>
    <w:basedOn w:val="DefaultParagraphFont"/>
    <w:uiPriority w:val="99"/>
    <w:semiHidden/>
    <w:unhideWhenUsed/>
    <w:rsid w:val="00E11634"/>
    <w:rPr>
      <w:vertAlign w:val="superscript"/>
    </w:rPr>
  </w:style>
  <w:style w:type="paragraph" w:customStyle="1" w:styleId="Default">
    <w:name w:val="Default"/>
    <w:rsid w:val="00DF2CB1"/>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96004F"/>
    <w:rPr>
      <w:color w:val="2B579A"/>
      <w:shd w:val="clear" w:color="auto" w:fill="E6E6E6"/>
    </w:rPr>
  </w:style>
  <w:style w:type="paragraph" w:styleId="Header">
    <w:name w:val="header"/>
    <w:basedOn w:val="Normal"/>
    <w:link w:val="HeaderChar"/>
    <w:uiPriority w:val="99"/>
    <w:unhideWhenUsed/>
    <w:rsid w:val="00AD298C"/>
    <w:pPr>
      <w:tabs>
        <w:tab w:val="center" w:pos="4680"/>
        <w:tab w:val="right" w:pos="9360"/>
      </w:tabs>
    </w:pPr>
  </w:style>
  <w:style w:type="character" w:customStyle="1" w:styleId="HeaderChar">
    <w:name w:val="Header Char"/>
    <w:basedOn w:val="DefaultParagraphFont"/>
    <w:link w:val="Header"/>
    <w:uiPriority w:val="99"/>
    <w:rsid w:val="00AD298C"/>
  </w:style>
  <w:style w:type="paragraph" w:styleId="Footer">
    <w:name w:val="footer"/>
    <w:basedOn w:val="Normal"/>
    <w:link w:val="FooterChar"/>
    <w:uiPriority w:val="99"/>
    <w:unhideWhenUsed/>
    <w:rsid w:val="00AD298C"/>
    <w:pPr>
      <w:tabs>
        <w:tab w:val="center" w:pos="4680"/>
        <w:tab w:val="right" w:pos="9360"/>
      </w:tabs>
    </w:pPr>
  </w:style>
  <w:style w:type="character" w:customStyle="1" w:styleId="FooterChar">
    <w:name w:val="Footer Char"/>
    <w:basedOn w:val="DefaultParagraphFont"/>
    <w:link w:val="Footer"/>
    <w:uiPriority w:val="99"/>
    <w:rsid w:val="00AD2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295">
      <w:bodyDiv w:val="1"/>
      <w:marLeft w:val="0"/>
      <w:marRight w:val="0"/>
      <w:marTop w:val="0"/>
      <w:marBottom w:val="0"/>
      <w:divBdr>
        <w:top w:val="none" w:sz="0" w:space="0" w:color="auto"/>
        <w:left w:val="none" w:sz="0" w:space="0" w:color="auto"/>
        <w:bottom w:val="none" w:sz="0" w:space="0" w:color="auto"/>
        <w:right w:val="none" w:sz="0" w:space="0" w:color="auto"/>
      </w:divBdr>
      <w:divsChild>
        <w:div w:id="671839535">
          <w:marLeft w:val="0"/>
          <w:marRight w:val="0"/>
          <w:marTop w:val="0"/>
          <w:marBottom w:val="0"/>
          <w:divBdr>
            <w:top w:val="none" w:sz="0" w:space="0" w:color="auto"/>
            <w:left w:val="none" w:sz="0" w:space="0" w:color="auto"/>
            <w:bottom w:val="none" w:sz="0" w:space="0" w:color="auto"/>
            <w:right w:val="none" w:sz="0" w:space="0" w:color="auto"/>
          </w:divBdr>
        </w:div>
        <w:div w:id="857429566">
          <w:marLeft w:val="0"/>
          <w:marRight w:val="0"/>
          <w:marTop w:val="0"/>
          <w:marBottom w:val="0"/>
          <w:divBdr>
            <w:top w:val="none" w:sz="0" w:space="0" w:color="auto"/>
            <w:left w:val="none" w:sz="0" w:space="0" w:color="auto"/>
            <w:bottom w:val="none" w:sz="0" w:space="0" w:color="auto"/>
            <w:right w:val="none" w:sz="0" w:space="0" w:color="auto"/>
          </w:divBdr>
        </w:div>
        <w:div w:id="464205178">
          <w:marLeft w:val="0"/>
          <w:marRight w:val="0"/>
          <w:marTop w:val="0"/>
          <w:marBottom w:val="0"/>
          <w:divBdr>
            <w:top w:val="none" w:sz="0" w:space="0" w:color="auto"/>
            <w:left w:val="none" w:sz="0" w:space="0" w:color="auto"/>
            <w:bottom w:val="none" w:sz="0" w:space="0" w:color="auto"/>
            <w:right w:val="none" w:sz="0" w:space="0" w:color="auto"/>
          </w:divBdr>
        </w:div>
        <w:div w:id="741490799">
          <w:marLeft w:val="0"/>
          <w:marRight w:val="0"/>
          <w:marTop w:val="0"/>
          <w:marBottom w:val="0"/>
          <w:divBdr>
            <w:top w:val="none" w:sz="0" w:space="0" w:color="auto"/>
            <w:left w:val="none" w:sz="0" w:space="0" w:color="auto"/>
            <w:bottom w:val="none" w:sz="0" w:space="0" w:color="auto"/>
            <w:right w:val="none" w:sz="0" w:space="0" w:color="auto"/>
          </w:divBdr>
        </w:div>
        <w:div w:id="197162252">
          <w:marLeft w:val="0"/>
          <w:marRight w:val="0"/>
          <w:marTop w:val="0"/>
          <w:marBottom w:val="0"/>
          <w:divBdr>
            <w:top w:val="none" w:sz="0" w:space="0" w:color="auto"/>
            <w:left w:val="none" w:sz="0" w:space="0" w:color="auto"/>
            <w:bottom w:val="none" w:sz="0" w:space="0" w:color="auto"/>
            <w:right w:val="none" w:sz="0" w:space="0" w:color="auto"/>
          </w:divBdr>
        </w:div>
      </w:divsChild>
    </w:div>
    <w:div w:id="4409268">
      <w:bodyDiv w:val="1"/>
      <w:marLeft w:val="0"/>
      <w:marRight w:val="0"/>
      <w:marTop w:val="0"/>
      <w:marBottom w:val="0"/>
      <w:divBdr>
        <w:top w:val="none" w:sz="0" w:space="0" w:color="auto"/>
        <w:left w:val="none" w:sz="0" w:space="0" w:color="auto"/>
        <w:bottom w:val="none" w:sz="0" w:space="0" w:color="auto"/>
        <w:right w:val="none" w:sz="0" w:space="0" w:color="auto"/>
      </w:divBdr>
      <w:divsChild>
        <w:div w:id="368148295">
          <w:marLeft w:val="0"/>
          <w:marRight w:val="0"/>
          <w:marTop w:val="0"/>
          <w:marBottom w:val="0"/>
          <w:divBdr>
            <w:top w:val="none" w:sz="0" w:space="0" w:color="auto"/>
            <w:left w:val="none" w:sz="0" w:space="0" w:color="auto"/>
            <w:bottom w:val="none" w:sz="0" w:space="0" w:color="auto"/>
            <w:right w:val="none" w:sz="0" w:space="0" w:color="auto"/>
          </w:divBdr>
        </w:div>
      </w:divsChild>
    </w:div>
    <w:div w:id="196698647">
      <w:bodyDiv w:val="1"/>
      <w:marLeft w:val="0"/>
      <w:marRight w:val="0"/>
      <w:marTop w:val="0"/>
      <w:marBottom w:val="0"/>
      <w:divBdr>
        <w:top w:val="none" w:sz="0" w:space="0" w:color="auto"/>
        <w:left w:val="none" w:sz="0" w:space="0" w:color="auto"/>
        <w:bottom w:val="none" w:sz="0" w:space="0" w:color="auto"/>
        <w:right w:val="none" w:sz="0" w:space="0" w:color="auto"/>
      </w:divBdr>
    </w:div>
    <w:div w:id="365299635">
      <w:bodyDiv w:val="1"/>
      <w:marLeft w:val="0"/>
      <w:marRight w:val="0"/>
      <w:marTop w:val="0"/>
      <w:marBottom w:val="0"/>
      <w:divBdr>
        <w:top w:val="none" w:sz="0" w:space="0" w:color="auto"/>
        <w:left w:val="none" w:sz="0" w:space="0" w:color="auto"/>
        <w:bottom w:val="none" w:sz="0" w:space="0" w:color="auto"/>
        <w:right w:val="none" w:sz="0" w:space="0" w:color="auto"/>
      </w:divBdr>
    </w:div>
    <w:div w:id="393283996">
      <w:bodyDiv w:val="1"/>
      <w:marLeft w:val="0"/>
      <w:marRight w:val="0"/>
      <w:marTop w:val="0"/>
      <w:marBottom w:val="0"/>
      <w:divBdr>
        <w:top w:val="none" w:sz="0" w:space="0" w:color="auto"/>
        <w:left w:val="none" w:sz="0" w:space="0" w:color="auto"/>
        <w:bottom w:val="none" w:sz="0" w:space="0" w:color="auto"/>
        <w:right w:val="none" w:sz="0" w:space="0" w:color="auto"/>
      </w:divBdr>
      <w:divsChild>
        <w:div w:id="1304043044">
          <w:marLeft w:val="0"/>
          <w:marRight w:val="0"/>
          <w:marTop w:val="0"/>
          <w:marBottom w:val="0"/>
          <w:divBdr>
            <w:top w:val="none" w:sz="0" w:space="0" w:color="auto"/>
            <w:left w:val="none" w:sz="0" w:space="0" w:color="auto"/>
            <w:bottom w:val="none" w:sz="0" w:space="0" w:color="auto"/>
            <w:right w:val="none" w:sz="0" w:space="0" w:color="auto"/>
          </w:divBdr>
        </w:div>
        <w:div w:id="1269190960">
          <w:marLeft w:val="0"/>
          <w:marRight w:val="0"/>
          <w:marTop w:val="0"/>
          <w:marBottom w:val="0"/>
          <w:divBdr>
            <w:top w:val="none" w:sz="0" w:space="0" w:color="auto"/>
            <w:left w:val="none" w:sz="0" w:space="0" w:color="auto"/>
            <w:bottom w:val="none" w:sz="0" w:space="0" w:color="auto"/>
            <w:right w:val="none" w:sz="0" w:space="0" w:color="auto"/>
          </w:divBdr>
        </w:div>
        <w:div w:id="953443864">
          <w:marLeft w:val="0"/>
          <w:marRight w:val="0"/>
          <w:marTop w:val="0"/>
          <w:marBottom w:val="0"/>
          <w:divBdr>
            <w:top w:val="none" w:sz="0" w:space="0" w:color="auto"/>
            <w:left w:val="none" w:sz="0" w:space="0" w:color="auto"/>
            <w:bottom w:val="none" w:sz="0" w:space="0" w:color="auto"/>
            <w:right w:val="none" w:sz="0" w:space="0" w:color="auto"/>
          </w:divBdr>
        </w:div>
        <w:div w:id="1013459690">
          <w:marLeft w:val="0"/>
          <w:marRight w:val="0"/>
          <w:marTop w:val="0"/>
          <w:marBottom w:val="0"/>
          <w:divBdr>
            <w:top w:val="none" w:sz="0" w:space="0" w:color="auto"/>
            <w:left w:val="none" w:sz="0" w:space="0" w:color="auto"/>
            <w:bottom w:val="none" w:sz="0" w:space="0" w:color="auto"/>
            <w:right w:val="none" w:sz="0" w:space="0" w:color="auto"/>
          </w:divBdr>
        </w:div>
        <w:div w:id="1657371769">
          <w:marLeft w:val="0"/>
          <w:marRight w:val="0"/>
          <w:marTop w:val="0"/>
          <w:marBottom w:val="0"/>
          <w:divBdr>
            <w:top w:val="none" w:sz="0" w:space="0" w:color="auto"/>
            <w:left w:val="none" w:sz="0" w:space="0" w:color="auto"/>
            <w:bottom w:val="none" w:sz="0" w:space="0" w:color="auto"/>
            <w:right w:val="none" w:sz="0" w:space="0" w:color="auto"/>
          </w:divBdr>
        </w:div>
        <w:div w:id="1316639283">
          <w:marLeft w:val="0"/>
          <w:marRight w:val="0"/>
          <w:marTop w:val="0"/>
          <w:marBottom w:val="0"/>
          <w:divBdr>
            <w:top w:val="none" w:sz="0" w:space="0" w:color="auto"/>
            <w:left w:val="none" w:sz="0" w:space="0" w:color="auto"/>
            <w:bottom w:val="none" w:sz="0" w:space="0" w:color="auto"/>
            <w:right w:val="none" w:sz="0" w:space="0" w:color="auto"/>
          </w:divBdr>
        </w:div>
        <w:div w:id="146166227">
          <w:marLeft w:val="0"/>
          <w:marRight w:val="0"/>
          <w:marTop w:val="0"/>
          <w:marBottom w:val="0"/>
          <w:divBdr>
            <w:top w:val="none" w:sz="0" w:space="0" w:color="auto"/>
            <w:left w:val="none" w:sz="0" w:space="0" w:color="auto"/>
            <w:bottom w:val="none" w:sz="0" w:space="0" w:color="auto"/>
            <w:right w:val="none" w:sz="0" w:space="0" w:color="auto"/>
          </w:divBdr>
        </w:div>
        <w:div w:id="661811087">
          <w:marLeft w:val="0"/>
          <w:marRight w:val="0"/>
          <w:marTop w:val="0"/>
          <w:marBottom w:val="0"/>
          <w:divBdr>
            <w:top w:val="none" w:sz="0" w:space="0" w:color="auto"/>
            <w:left w:val="none" w:sz="0" w:space="0" w:color="auto"/>
            <w:bottom w:val="none" w:sz="0" w:space="0" w:color="auto"/>
            <w:right w:val="none" w:sz="0" w:space="0" w:color="auto"/>
          </w:divBdr>
        </w:div>
        <w:div w:id="1636566641">
          <w:marLeft w:val="0"/>
          <w:marRight w:val="0"/>
          <w:marTop w:val="0"/>
          <w:marBottom w:val="0"/>
          <w:divBdr>
            <w:top w:val="none" w:sz="0" w:space="0" w:color="auto"/>
            <w:left w:val="none" w:sz="0" w:space="0" w:color="auto"/>
            <w:bottom w:val="none" w:sz="0" w:space="0" w:color="auto"/>
            <w:right w:val="none" w:sz="0" w:space="0" w:color="auto"/>
          </w:divBdr>
        </w:div>
        <w:div w:id="623736294">
          <w:marLeft w:val="0"/>
          <w:marRight w:val="0"/>
          <w:marTop w:val="0"/>
          <w:marBottom w:val="0"/>
          <w:divBdr>
            <w:top w:val="none" w:sz="0" w:space="0" w:color="auto"/>
            <w:left w:val="none" w:sz="0" w:space="0" w:color="auto"/>
            <w:bottom w:val="none" w:sz="0" w:space="0" w:color="auto"/>
            <w:right w:val="none" w:sz="0" w:space="0" w:color="auto"/>
          </w:divBdr>
        </w:div>
        <w:div w:id="797450155">
          <w:marLeft w:val="0"/>
          <w:marRight w:val="0"/>
          <w:marTop w:val="0"/>
          <w:marBottom w:val="0"/>
          <w:divBdr>
            <w:top w:val="none" w:sz="0" w:space="0" w:color="auto"/>
            <w:left w:val="none" w:sz="0" w:space="0" w:color="auto"/>
            <w:bottom w:val="none" w:sz="0" w:space="0" w:color="auto"/>
            <w:right w:val="none" w:sz="0" w:space="0" w:color="auto"/>
          </w:divBdr>
        </w:div>
        <w:div w:id="45295917">
          <w:marLeft w:val="0"/>
          <w:marRight w:val="0"/>
          <w:marTop w:val="0"/>
          <w:marBottom w:val="0"/>
          <w:divBdr>
            <w:top w:val="none" w:sz="0" w:space="0" w:color="auto"/>
            <w:left w:val="none" w:sz="0" w:space="0" w:color="auto"/>
            <w:bottom w:val="none" w:sz="0" w:space="0" w:color="auto"/>
            <w:right w:val="none" w:sz="0" w:space="0" w:color="auto"/>
          </w:divBdr>
        </w:div>
        <w:div w:id="1214081258">
          <w:marLeft w:val="0"/>
          <w:marRight w:val="0"/>
          <w:marTop w:val="0"/>
          <w:marBottom w:val="0"/>
          <w:divBdr>
            <w:top w:val="none" w:sz="0" w:space="0" w:color="auto"/>
            <w:left w:val="none" w:sz="0" w:space="0" w:color="auto"/>
            <w:bottom w:val="none" w:sz="0" w:space="0" w:color="auto"/>
            <w:right w:val="none" w:sz="0" w:space="0" w:color="auto"/>
          </w:divBdr>
        </w:div>
        <w:div w:id="2031177567">
          <w:marLeft w:val="0"/>
          <w:marRight w:val="0"/>
          <w:marTop w:val="0"/>
          <w:marBottom w:val="0"/>
          <w:divBdr>
            <w:top w:val="none" w:sz="0" w:space="0" w:color="auto"/>
            <w:left w:val="none" w:sz="0" w:space="0" w:color="auto"/>
            <w:bottom w:val="none" w:sz="0" w:space="0" w:color="auto"/>
            <w:right w:val="none" w:sz="0" w:space="0" w:color="auto"/>
          </w:divBdr>
        </w:div>
      </w:divsChild>
    </w:div>
    <w:div w:id="405610673">
      <w:bodyDiv w:val="1"/>
      <w:marLeft w:val="0"/>
      <w:marRight w:val="0"/>
      <w:marTop w:val="0"/>
      <w:marBottom w:val="0"/>
      <w:divBdr>
        <w:top w:val="none" w:sz="0" w:space="0" w:color="auto"/>
        <w:left w:val="none" w:sz="0" w:space="0" w:color="auto"/>
        <w:bottom w:val="none" w:sz="0" w:space="0" w:color="auto"/>
        <w:right w:val="none" w:sz="0" w:space="0" w:color="auto"/>
      </w:divBdr>
    </w:div>
    <w:div w:id="454829810">
      <w:bodyDiv w:val="1"/>
      <w:marLeft w:val="0"/>
      <w:marRight w:val="0"/>
      <w:marTop w:val="0"/>
      <w:marBottom w:val="0"/>
      <w:divBdr>
        <w:top w:val="none" w:sz="0" w:space="0" w:color="auto"/>
        <w:left w:val="none" w:sz="0" w:space="0" w:color="auto"/>
        <w:bottom w:val="none" w:sz="0" w:space="0" w:color="auto"/>
        <w:right w:val="none" w:sz="0" w:space="0" w:color="auto"/>
      </w:divBdr>
      <w:divsChild>
        <w:div w:id="509560893">
          <w:marLeft w:val="0"/>
          <w:marRight w:val="0"/>
          <w:marTop w:val="0"/>
          <w:marBottom w:val="200"/>
          <w:divBdr>
            <w:top w:val="none" w:sz="0" w:space="0" w:color="auto"/>
            <w:left w:val="none" w:sz="0" w:space="0" w:color="auto"/>
            <w:bottom w:val="none" w:sz="0" w:space="0" w:color="auto"/>
            <w:right w:val="none" w:sz="0" w:space="0" w:color="auto"/>
          </w:divBdr>
        </w:div>
        <w:div w:id="1291210541">
          <w:marLeft w:val="0"/>
          <w:marRight w:val="0"/>
          <w:marTop w:val="0"/>
          <w:marBottom w:val="200"/>
          <w:divBdr>
            <w:top w:val="none" w:sz="0" w:space="0" w:color="auto"/>
            <w:left w:val="none" w:sz="0" w:space="0" w:color="auto"/>
            <w:bottom w:val="none" w:sz="0" w:space="0" w:color="auto"/>
            <w:right w:val="none" w:sz="0" w:space="0" w:color="auto"/>
          </w:divBdr>
        </w:div>
        <w:div w:id="1324625805">
          <w:marLeft w:val="0"/>
          <w:marRight w:val="0"/>
          <w:marTop w:val="0"/>
          <w:marBottom w:val="200"/>
          <w:divBdr>
            <w:top w:val="none" w:sz="0" w:space="0" w:color="auto"/>
            <w:left w:val="none" w:sz="0" w:space="0" w:color="auto"/>
            <w:bottom w:val="none" w:sz="0" w:space="0" w:color="auto"/>
            <w:right w:val="none" w:sz="0" w:space="0" w:color="auto"/>
          </w:divBdr>
        </w:div>
        <w:div w:id="1525170164">
          <w:marLeft w:val="0"/>
          <w:marRight w:val="0"/>
          <w:marTop w:val="0"/>
          <w:marBottom w:val="200"/>
          <w:divBdr>
            <w:top w:val="none" w:sz="0" w:space="0" w:color="auto"/>
            <w:left w:val="none" w:sz="0" w:space="0" w:color="auto"/>
            <w:bottom w:val="none" w:sz="0" w:space="0" w:color="auto"/>
            <w:right w:val="none" w:sz="0" w:space="0" w:color="auto"/>
          </w:divBdr>
        </w:div>
        <w:div w:id="1884318696">
          <w:marLeft w:val="0"/>
          <w:marRight w:val="0"/>
          <w:marTop w:val="0"/>
          <w:marBottom w:val="200"/>
          <w:divBdr>
            <w:top w:val="none" w:sz="0" w:space="0" w:color="auto"/>
            <w:left w:val="none" w:sz="0" w:space="0" w:color="auto"/>
            <w:bottom w:val="none" w:sz="0" w:space="0" w:color="auto"/>
            <w:right w:val="none" w:sz="0" w:space="0" w:color="auto"/>
          </w:divBdr>
        </w:div>
      </w:divsChild>
    </w:div>
    <w:div w:id="684551692">
      <w:bodyDiv w:val="1"/>
      <w:marLeft w:val="0"/>
      <w:marRight w:val="0"/>
      <w:marTop w:val="0"/>
      <w:marBottom w:val="0"/>
      <w:divBdr>
        <w:top w:val="none" w:sz="0" w:space="0" w:color="auto"/>
        <w:left w:val="none" w:sz="0" w:space="0" w:color="auto"/>
        <w:bottom w:val="none" w:sz="0" w:space="0" w:color="auto"/>
        <w:right w:val="none" w:sz="0" w:space="0" w:color="auto"/>
      </w:divBdr>
    </w:div>
    <w:div w:id="706101337">
      <w:bodyDiv w:val="1"/>
      <w:marLeft w:val="0"/>
      <w:marRight w:val="0"/>
      <w:marTop w:val="0"/>
      <w:marBottom w:val="0"/>
      <w:divBdr>
        <w:top w:val="none" w:sz="0" w:space="0" w:color="auto"/>
        <w:left w:val="none" w:sz="0" w:space="0" w:color="auto"/>
        <w:bottom w:val="none" w:sz="0" w:space="0" w:color="auto"/>
        <w:right w:val="none" w:sz="0" w:space="0" w:color="auto"/>
      </w:divBdr>
      <w:divsChild>
        <w:div w:id="1348098946">
          <w:marLeft w:val="0"/>
          <w:marRight w:val="0"/>
          <w:marTop w:val="0"/>
          <w:marBottom w:val="0"/>
          <w:divBdr>
            <w:top w:val="none" w:sz="0" w:space="0" w:color="auto"/>
            <w:left w:val="none" w:sz="0" w:space="0" w:color="auto"/>
            <w:bottom w:val="none" w:sz="0" w:space="0" w:color="auto"/>
            <w:right w:val="none" w:sz="0" w:space="0" w:color="auto"/>
          </w:divBdr>
        </w:div>
      </w:divsChild>
    </w:div>
    <w:div w:id="1321612975">
      <w:bodyDiv w:val="1"/>
      <w:marLeft w:val="0"/>
      <w:marRight w:val="0"/>
      <w:marTop w:val="0"/>
      <w:marBottom w:val="0"/>
      <w:divBdr>
        <w:top w:val="none" w:sz="0" w:space="0" w:color="auto"/>
        <w:left w:val="none" w:sz="0" w:space="0" w:color="auto"/>
        <w:bottom w:val="none" w:sz="0" w:space="0" w:color="auto"/>
        <w:right w:val="none" w:sz="0" w:space="0" w:color="auto"/>
      </w:divBdr>
      <w:divsChild>
        <w:div w:id="685912977">
          <w:marLeft w:val="0"/>
          <w:marRight w:val="0"/>
          <w:marTop w:val="0"/>
          <w:marBottom w:val="0"/>
          <w:divBdr>
            <w:top w:val="none" w:sz="0" w:space="0" w:color="auto"/>
            <w:left w:val="none" w:sz="0" w:space="0" w:color="auto"/>
            <w:bottom w:val="none" w:sz="0" w:space="0" w:color="auto"/>
            <w:right w:val="none" w:sz="0" w:space="0" w:color="auto"/>
          </w:divBdr>
        </w:div>
      </w:divsChild>
    </w:div>
    <w:div w:id="1368287348">
      <w:bodyDiv w:val="1"/>
      <w:marLeft w:val="0"/>
      <w:marRight w:val="0"/>
      <w:marTop w:val="0"/>
      <w:marBottom w:val="0"/>
      <w:divBdr>
        <w:top w:val="none" w:sz="0" w:space="0" w:color="auto"/>
        <w:left w:val="none" w:sz="0" w:space="0" w:color="auto"/>
        <w:bottom w:val="none" w:sz="0" w:space="0" w:color="auto"/>
        <w:right w:val="none" w:sz="0" w:space="0" w:color="auto"/>
      </w:divBdr>
      <w:divsChild>
        <w:div w:id="70469301">
          <w:marLeft w:val="0"/>
          <w:marRight w:val="0"/>
          <w:marTop w:val="0"/>
          <w:marBottom w:val="0"/>
          <w:divBdr>
            <w:top w:val="none" w:sz="0" w:space="0" w:color="auto"/>
            <w:left w:val="none" w:sz="0" w:space="0" w:color="auto"/>
            <w:bottom w:val="none" w:sz="0" w:space="0" w:color="auto"/>
            <w:right w:val="none" w:sz="0" w:space="0" w:color="auto"/>
          </w:divBdr>
        </w:div>
        <w:div w:id="377240763">
          <w:marLeft w:val="0"/>
          <w:marRight w:val="0"/>
          <w:marTop w:val="0"/>
          <w:marBottom w:val="0"/>
          <w:divBdr>
            <w:top w:val="none" w:sz="0" w:space="0" w:color="auto"/>
            <w:left w:val="none" w:sz="0" w:space="0" w:color="auto"/>
            <w:bottom w:val="none" w:sz="0" w:space="0" w:color="auto"/>
            <w:right w:val="none" w:sz="0" w:space="0" w:color="auto"/>
          </w:divBdr>
        </w:div>
        <w:div w:id="517043925">
          <w:marLeft w:val="0"/>
          <w:marRight w:val="0"/>
          <w:marTop w:val="0"/>
          <w:marBottom w:val="0"/>
          <w:divBdr>
            <w:top w:val="none" w:sz="0" w:space="0" w:color="auto"/>
            <w:left w:val="none" w:sz="0" w:space="0" w:color="auto"/>
            <w:bottom w:val="none" w:sz="0" w:space="0" w:color="auto"/>
            <w:right w:val="none" w:sz="0" w:space="0" w:color="auto"/>
          </w:divBdr>
        </w:div>
        <w:div w:id="771165475">
          <w:marLeft w:val="0"/>
          <w:marRight w:val="0"/>
          <w:marTop w:val="0"/>
          <w:marBottom w:val="0"/>
          <w:divBdr>
            <w:top w:val="none" w:sz="0" w:space="0" w:color="auto"/>
            <w:left w:val="none" w:sz="0" w:space="0" w:color="auto"/>
            <w:bottom w:val="none" w:sz="0" w:space="0" w:color="auto"/>
            <w:right w:val="none" w:sz="0" w:space="0" w:color="auto"/>
          </w:divBdr>
        </w:div>
        <w:div w:id="774399214">
          <w:marLeft w:val="0"/>
          <w:marRight w:val="0"/>
          <w:marTop w:val="0"/>
          <w:marBottom w:val="0"/>
          <w:divBdr>
            <w:top w:val="none" w:sz="0" w:space="0" w:color="auto"/>
            <w:left w:val="none" w:sz="0" w:space="0" w:color="auto"/>
            <w:bottom w:val="none" w:sz="0" w:space="0" w:color="auto"/>
            <w:right w:val="none" w:sz="0" w:space="0" w:color="auto"/>
          </w:divBdr>
        </w:div>
        <w:div w:id="926957175">
          <w:marLeft w:val="0"/>
          <w:marRight w:val="0"/>
          <w:marTop w:val="0"/>
          <w:marBottom w:val="0"/>
          <w:divBdr>
            <w:top w:val="none" w:sz="0" w:space="0" w:color="auto"/>
            <w:left w:val="none" w:sz="0" w:space="0" w:color="auto"/>
            <w:bottom w:val="none" w:sz="0" w:space="0" w:color="auto"/>
            <w:right w:val="none" w:sz="0" w:space="0" w:color="auto"/>
          </w:divBdr>
        </w:div>
        <w:div w:id="1757896310">
          <w:marLeft w:val="0"/>
          <w:marRight w:val="0"/>
          <w:marTop w:val="0"/>
          <w:marBottom w:val="0"/>
          <w:divBdr>
            <w:top w:val="none" w:sz="0" w:space="0" w:color="auto"/>
            <w:left w:val="none" w:sz="0" w:space="0" w:color="auto"/>
            <w:bottom w:val="none" w:sz="0" w:space="0" w:color="auto"/>
            <w:right w:val="none" w:sz="0" w:space="0" w:color="auto"/>
          </w:divBdr>
        </w:div>
        <w:div w:id="1801606168">
          <w:marLeft w:val="0"/>
          <w:marRight w:val="0"/>
          <w:marTop w:val="0"/>
          <w:marBottom w:val="0"/>
          <w:divBdr>
            <w:top w:val="none" w:sz="0" w:space="0" w:color="auto"/>
            <w:left w:val="none" w:sz="0" w:space="0" w:color="auto"/>
            <w:bottom w:val="none" w:sz="0" w:space="0" w:color="auto"/>
            <w:right w:val="none" w:sz="0" w:space="0" w:color="auto"/>
          </w:divBdr>
        </w:div>
        <w:div w:id="1890992449">
          <w:marLeft w:val="0"/>
          <w:marRight w:val="0"/>
          <w:marTop w:val="0"/>
          <w:marBottom w:val="0"/>
          <w:divBdr>
            <w:top w:val="none" w:sz="0" w:space="0" w:color="auto"/>
            <w:left w:val="none" w:sz="0" w:space="0" w:color="auto"/>
            <w:bottom w:val="none" w:sz="0" w:space="0" w:color="auto"/>
            <w:right w:val="none" w:sz="0" w:space="0" w:color="auto"/>
          </w:divBdr>
        </w:div>
        <w:div w:id="1908875211">
          <w:marLeft w:val="0"/>
          <w:marRight w:val="0"/>
          <w:marTop w:val="0"/>
          <w:marBottom w:val="0"/>
          <w:divBdr>
            <w:top w:val="none" w:sz="0" w:space="0" w:color="auto"/>
            <w:left w:val="none" w:sz="0" w:space="0" w:color="auto"/>
            <w:bottom w:val="none" w:sz="0" w:space="0" w:color="auto"/>
            <w:right w:val="none" w:sz="0" w:space="0" w:color="auto"/>
          </w:divBdr>
        </w:div>
        <w:div w:id="1926766942">
          <w:marLeft w:val="0"/>
          <w:marRight w:val="0"/>
          <w:marTop w:val="0"/>
          <w:marBottom w:val="0"/>
          <w:divBdr>
            <w:top w:val="none" w:sz="0" w:space="0" w:color="auto"/>
            <w:left w:val="none" w:sz="0" w:space="0" w:color="auto"/>
            <w:bottom w:val="none" w:sz="0" w:space="0" w:color="auto"/>
            <w:right w:val="none" w:sz="0" w:space="0" w:color="auto"/>
          </w:divBdr>
        </w:div>
      </w:divsChild>
    </w:div>
    <w:div w:id="1414013077">
      <w:bodyDiv w:val="1"/>
      <w:marLeft w:val="0"/>
      <w:marRight w:val="0"/>
      <w:marTop w:val="0"/>
      <w:marBottom w:val="0"/>
      <w:divBdr>
        <w:top w:val="none" w:sz="0" w:space="0" w:color="auto"/>
        <w:left w:val="none" w:sz="0" w:space="0" w:color="auto"/>
        <w:bottom w:val="none" w:sz="0" w:space="0" w:color="auto"/>
        <w:right w:val="none" w:sz="0" w:space="0" w:color="auto"/>
      </w:divBdr>
      <w:divsChild>
        <w:div w:id="1668437967">
          <w:marLeft w:val="0"/>
          <w:marRight w:val="0"/>
          <w:marTop w:val="0"/>
          <w:marBottom w:val="0"/>
          <w:divBdr>
            <w:top w:val="none" w:sz="0" w:space="0" w:color="auto"/>
            <w:left w:val="none" w:sz="0" w:space="0" w:color="auto"/>
            <w:bottom w:val="none" w:sz="0" w:space="0" w:color="auto"/>
            <w:right w:val="none" w:sz="0" w:space="0" w:color="auto"/>
          </w:divBdr>
        </w:div>
      </w:divsChild>
    </w:div>
    <w:div w:id="1749883797">
      <w:bodyDiv w:val="1"/>
      <w:marLeft w:val="0"/>
      <w:marRight w:val="0"/>
      <w:marTop w:val="0"/>
      <w:marBottom w:val="0"/>
      <w:divBdr>
        <w:top w:val="none" w:sz="0" w:space="0" w:color="auto"/>
        <w:left w:val="none" w:sz="0" w:space="0" w:color="auto"/>
        <w:bottom w:val="none" w:sz="0" w:space="0" w:color="auto"/>
        <w:right w:val="none" w:sz="0" w:space="0" w:color="auto"/>
      </w:divBdr>
      <w:divsChild>
        <w:div w:id="1089542152">
          <w:marLeft w:val="0"/>
          <w:marRight w:val="0"/>
          <w:marTop w:val="0"/>
          <w:marBottom w:val="0"/>
          <w:divBdr>
            <w:top w:val="none" w:sz="0" w:space="0" w:color="auto"/>
            <w:left w:val="none" w:sz="0" w:space="0" w:color="auto"/>
            <w:bottom w:val="none" w:sz="0" w:space="0" w:color="auto"/>
            <w:right w:val="none" w:sz="0" w:space="0" w:color="auto"/>
          </w:divBdr>
        </w:div>
      </w:divsChild>
    </w:div>
    <w:div w:id="1783841532">
      <w:bodyDiv w:val="1"/>
      <w:marLeft w:val="0"/>
      <w:marRight w:val="0"/>
      <w:marTop w:val="0"/>
      <w:marBottom w:val="0"/>
      <w:divBdr>
        <w:top w:val="none" w:sz="0" w:space="0" w:color="auto"/>
        <w:left w:val="none" w:sz="0" w:space="0" w:color="auto"/>
        <w:bottom w:val="none" w:sz="0" w:space="0" w:color="auto"/>
        <w:right w:val="none" w:sz="0" w:space="0" w:color="auto"/>
      </w:divBdr>
      <w:divsChild>
        <w:div w:id="555555391">
          <w:marLeft w:val="0"/>
          <w:marRight w:val="0"/>
          <w:marTop w:val="0"/>
          <w:marBottom w:val="0"/>
          <w:divBdr>
            <w:top w:val="none" w:sz="0" w:space="0" w:color="auto"/>
            <w:left w:val="none" w:sz="0" w:space="0" w:color="auto"/>
            <w:bottom w:val="none" w:sz="0" w:space="0" w:color="auto"/>
            <w:right w:val="none" w:sz="0" w:space="0" w:color="auto"/>
          </w:divBdr>
        </w:div>
        <w:div w:id="1928539484">
          <w:marLeft w:val="0"/>
          <w:marRight w:val="0"/>
          <w:marTop w:val="0"/>
          <w:marBottom w:val="0"/>
          <w:divBdr>
            <w:top w:val="none" w:sz="0" w:space="0" w:color="auto"/>
            <w:left w:val="none" w:sz="0" w:space="0" w:color="auto"/>
            <w:bottom w:val="none" w:sz="0" w:space="0" w:color="auto"/>
            <w:right w:val="none" w:sz="0" w:space="0" w:color="auto"/>
          </w:divBdr>
        </w:div>
        <w:div w:id="981037865">
          <w:marLeft w:val="0"/>
          <w:marRight w:val="0"/>
          <w:marTop w:val="0"/>
          <w:marBottom w:val="0"/>
          <w:divBdr>
            <w:top w:val="none" w:sz="0" w:space="0" w:color="auto"/>
            <w:left w:val="none" w:sz="0" w:space="0" w:color="auto"/>
            <w:bottom w:val="none" w:sz="0" w:space="0" w:color="auto"/>
            <w:right w:val="none" w:sz="0" w:space="0" w:color="auto"/>
          </w:divBdr>
        </w:div>
        <w:div w:id="149177216">
          <w:marLeft w:val="0"/>
          <w:marRight w:val="0"/>
          <w:marTop w:val="0"/>
          <w:marBottom w:val="0"/>
          <w:divBdr>
            <w:top w:val="none" w:sz="0" w:space="0" w:color="auto"/>
            <w:left w:val="none" w:sz="0" w:space="0" w:color="auto"/>
            <w:bottom w:val="none" w:sz="0" w:space="0" w:color="auto"/>
            <w:right w:val="none" w:sz="0" w:space="0" w:color="auto"/>
          </w:divBdr>
        </w:div>
        <w:div w:id="767962805">
          <w:marLeft w:val="0"/>
          <w:marRight w:val="0"/>
          <w:marTop w:val="0"/>
          <w:marBottom w:val="0"/>
          <w:divBdr>
            <w:top w:val="none" w:sz="0" w:space="0" w:color="auto"/>
            <w:left w:val="none" w:sz="0" w:space="0" w:color="auto"/>
            <w:bottom w:val="none" w:sz="0" w:space="0" w:color="auto"/>
            <w:right w:val="none" w:sz="0" w:space="0" w:color="auto"/>
          </w:divBdr>
        </w:div>
      </w:divsChild>
    </w:div>
    <w:div w:id="1804032670">
      <w:bodyDiv w:val="1"/>
      <w:marLeft w:val="0"/>
      <w:marRight w:val="0"/>
      <w:marTop w:val="0"/>
      <w:marBottom w:val="0"/>
      <w:divBdr>
        <w:top w:val="none" w:sz="0" w:space="0" w:color="auto"/>
        <w:left w:val="none" w:sz="0" w:space="0" w:color="auto"/>
        <w:bottom w:val="none" w:sz="0" w:space="0" w:color="auto"/>
        <w:right w:val="none" w:sz="0" w:space="0" w:color="auto"/>
      </w:divBdr>
      <w:divsChild>
        <w:div w:id="238947505">
          <w:marLeft w:val="0"/>
          <w:marRight w:val="0"/>
          <w:marTop w:val="0"/>
          <w:marBottom w:val="0"/>
          <w:divBdr>
            <w:top w:val="none" w:sz="0" w:space="0" w:color="auto"/>
            <w:left w:val="none" w:sz="0" w:space="0" w:color="auto"/>
            <w:bottom w:val="none" w:sz="0" w:space="0" w:color="auto"/>
            <w:right w:val="none" w:sz="0" w:space="0" w:color="auto"/>
          </w:divBdr>
        </w:div>
      </w:divsChild>
    </w:div>
    <w:div w:id="1896577770">
      <w:bodyDiv w:val="1"/>
      <w:marLeft w:val="0"/>
      <w:marRight w:val="0"/>
      <w:marTop w:val="0"/>
      <w:marBottom w:val="0"/>
      <w:divBdr>
        <w:top w:val="none" w:sz="0" w:space="0" w:color="auto"/>
        <w:left w:val="none" w:sz="0" w:space="0" w:color="auto"/>
        <w:bottom w:val="none" w:sz="0" w:space="0" w:color="auto"/>
        <w:right w:val="none" w:sz="0" w:space="0" w:color="auto"/>
      </w:divBdr>
      <w:divsChild>
        <w:div w:id="351810379">
          <w:marLeft w:val="0"/>
          <w:marRight w:val="0"/>
          <w:marTop w:val="0"/>
          <w:marBottom w:val="0"/>
          <w:divBdr>
            <w:top w:val="none" w:sz="0" w:space="0" w:color="auto"/>
            <w:left w:val="none" w:sz="0" w:space="0" w:color="auto"/>
            <w:bottom w:val="none" w:sz="0" w:space="0" w:color="auto"/>
            <w:right w:val="none" w:sz="0" w:space="0" w:color="auto"/>
          </w:divBdr>
        </w:div>
        <w:div w:id="388503740">
          <w:marLeft w:val="0"/>
          <w:marRight w:val="0"/>
          <w:marTop w:val="0"/>
          <w:marBottom w:val="0"/>
          <w:divBdr>
            <w:top w:val="none" w:sz="0" w:space="0" w:color="auto"/>
            <w:left w:val="none" w:sz="0" w:space="0" w:color="auto"/>
            <w:bottom w:val="none" w:sz="0" w:space="0" w:color="auto"/>
            <w:right w:val="none" w:sz="0" w:space="0" w:color="auto"/>
          </w:divBdr>
        </w:div>
        <w:div w:id="738672400">
          <w:marLeft w:val="0"/>
          <w:marRight w:val="0"/>
          <w:marTop w:val="0"/>
          <w:marBottom w:val="0"/>
          <w:divBdr>
            <w:top w:val="none" w:sz="0" w:space="0" w:color="auto"/>
            <w:left w:val="none" w:sz="0" w:space="0" w:color="auto"/>
            <w:bottom w:val="none" w:sz="0" w:space="0" w:color="auto"/>
            <w:right w:val="none" w:sz="0" w:space="0" w:color="auto"/>
          </w:divBdr>
        </w:div>
        <w:div w:id="763691171">
          <w:marLeft w:val="0"/>
          <w:marRight w:val="0"/>
          <w:marTop w:val="0"/>
          <w:marBottom w:val="0"/>
          <w:divBdr>
            <w:top w:val="none" w:sz="0" w:space="0" w:color="auto"/>
            <w:left w:val="none" w:sz="0" w:space="0" w:color="auto"/>
            <w:bottom w:val="none" w:sz="0" w:space="0" w:color="auto"/>
            <w:right w:val="none" w:sz="0" w:space="0" w:color="auto"/>
          </w:divBdr>
        </w:div>
        <w:div w:id="1314484980">
          <w:marLeft w:val="0"/>
          <w:marRight w:val="0"/>
          <w:marTop w:val="0"/>
          <w:marBottom w:val="0"/>
          <w:divBdr>
            <w:top w:val="none" w:sz="0" w:space="0" w:color="auto"/>
            <w:left w:val="none" w:sz="0" w:space="0" w:color="auto"/>
            <w:bottom w:val="none" w:sz="0" w:space="0" w:color="auto"/>
            <w:right w:val="none" w:sz="0" w:space="0" w:color="auto"/>
          </w:divBdr>
        </w:div>
        <w:div w:id="1427772189">
          <w:marLeft w:val="0"/>
          <w:marRight w:val="0"/>
          <w:marTop w:val="0"/>
          <w:marBottom w:val="0"/>
          <w:divBdr>
            <w:top w:val="none" w:sz="0" w:space="0" w:color="auto"/>
            <w:left w:val="none" w:sz="0" w:space="0" w:color="auto"/>
            <w:bottom w:val="none" w:sz="0" w:space="0" w:color="auto"/>
            <w:right w:val="none" w:sz="0" w:space="0" w:color="auto"/>
          </w:divBdr>
        </w:div>
        <w:div w:id="1429500710">
          <w:marLeft w:val="0"/>
          <w:marRight w:val="0"/>
          <w:marTop w:val="0"/>
          <w:marBottom w:val="0"/>
          <w:divBdr>
            <w:top w:val="none" w:sz="0" w:space="0" w:color="auto"/>
            <w:left w:val="none" w:sz="0" w:space="0" w:color="auto"/>
            <w:bottom w:val="none" w:sz="0" w:space="0" w:color="auto"/>
            <w:right w:val="none" w:sz="0" w:space="0" w:color="auto"/>
          </w:divBdr>
        </w:div>
        <w:div w:id="1473210598">
          <w:marLeft w:val="0"/>
          <w:marRight w:val="0"/>
          <w:marTop w:val="0"/>
          <w:marBottom w:val="0"/>
          <w:divBdr>
            <w:top w:val="none" w:sz="0" w:space="0" w:color="auto"/>
            <w:left w:val="none" w:sz="0" w:space="0" w:color="auto"/>
            <w:bottom w:val="none" w:sz="0" w:space="0" w:color="auto"/>
            <w:right w:val="none" w:sz="0" w:space="0" w:color="auto"/>
          </w:divBdr>
        </w:div>
        <w:div w:id="1489663647">
          <w:marLeft w:val="0"/>
          <w:marRight w:val="0"/>
          <w:marTop w:val="0"/>
          <w:marBottom w:val="0"/>
          <w:divBdr>
            <w:top w:val="none" w:sz="0" w:space="0" w:color="auto"/>
            <w:left w:val="none" w:sz="0" w:space="0" w:color="auto"/>
            <w:bottom w:val="none" w:sz="0" w:space="0" w:color="auto"/>
            <w:right w:val="none" w:sz="0" w:space="0" w:color="auto"/>
          </w:divBdr>
        </w:div>
        <w:div w:id="1539582642">
          <w:marLeft w:val="0"/>
          <w:marRight w:val="0"/>
          <w:marTop w:val="0"/>
          <w:marBottom w:val="0"/>
          <w:divBdr>
            <w:top w:val="none" w:sz="0" w:space="0" w:color="auto"/>
            <w:left w:val="none" w:sz="0" w:space="0" w:color="auto"/>
            <w:bottom w:val="none" w:sz="0" w:space="0" w:color="auto"/>
            <w:right w:val="none" w:sz="0" w:space="0" w:color="auto"/>
          </w:divBdr>
        </w:div>
        <w:div w:id="1579168198">
          <w:marLeft w:val="0"/>
          <w:marRight w:val="0"/>
          <w:marTop w:val="0"/>
          <w:marBottom w:val="0"/>
          <w:divBdr>
            <w:top w:val="none" w:sz="0" w:space="0" w:color="auto"/>
            <w:left w:val="none" w:sz="0" w:space="0" w:color="auto"/>
            <w:bottom w:val="none" w:sz="0" w:space="0" w:color="auto"/>
            <w:right w:val="none" w:sz="0" w:space="0" w:color="auto"/>
          </w:divBdr>
        </w:div>
        <w:div w:id="1646736533">
          <w:marLeft w:val="0"/>
          <w:marRight w:val="0"/>
          <w:marTop w:val="0"/>
          <w:marBottom w:val="0"/>
          <w:divBdr>
            <w:top w:val="none" w:sz="0" w:space="0" w:color="auto"/>
            <w:left w:val="none" w:sz="0" w:space="0" w:color="auto"/>
            <w:bottom w:val="none" w:sz="0" w:space="0" w:color="auto"/>
            <w:right w:val="none" w:sz="0" w:space="0" w:color="auto"/>
          </w:divBdr>
        </w:div>
        <w:div w:id="1675646671">
          <w:marLeft w:val="0"/>
          <w:marRight w:val="0"/>
          <w:marTop w:val="0"/>
          <w:marBottom w:val="0"/>
          <w:divBdr>
            <w:top w:val="none" w:sz="0" w:space="0" w:color="auto"/>
            <w:left w:val="none" w:sz="0" w:space="0" w:color="auto"/>
            <w:bottom w:val="none" w:sz="0" w:space="0" w:color="auto"/>
            <w:right w:val="none" w:sz="0" w:space="0" w:color="auto"/>
          </w:divBdr>
        </w:div>
        <w:div w:id="1838576784">
          <w:marLeft w:val="0"/>
          <w:marRight w:val="0"/>
          <w:marTop w:val="0"/>
          <w:marBottom w:val="0"/>
          <w:divBdr>
            <w:top w:val="none" w:sz="0" w:space="0" w:color="auto"/>
            <w:left w:val="none" w:sz="0" w:space="0" w:color="auto"/>
            <w:bottom w:val="none" w:sz="0" w:space="0" w:color="auto"/>
            <w:right w:val="none" w:sz="0" w:space="0" w:color="auto"/>
          </w:divBdr>
        </w:div>
        <w:div w:id="1985815014">
          <w:marLeft w:val="0"/>
          <w:marRight w:val="0"/>
          <w:marTop w:val="0"/>
          <w:marBottom w:val="0"/>
          <w:divBdr>
            <w:top w:val="none" w:sz="0" w:space="0" w:color="auto"/>
            <w:left w:val="none" w:sz="0" w:space="0" w:color="auto"/>
            <w:bottom w:val="none" w:sz="0" w:space="0" w:color="auto"/>
            <w:right w:val="none" w:sz="0" w:space="0" w:color="auto"/>
          </w:divBdr>
        </w:div>
        <w:div w:id="2088377057">
          <w:marLeft w:val="0"/>
          <w:marRight w:val="0"/>
          <w:marTop w:val="0"/>
          <w:marBottom w:val="0"/>
          <w:divBdr>
            <w:top w:val="none" w:sz="0" w:space="0" w:color="auto"/>
            <w:left w:val="none" w:sz="0" w:space="0" w:color="auto"/>
            <w:bottom w:val="none" w:sz="0" w:space="0" w:color="auto"/>
            <w:right w:val="none" w:sz="0" w:space="0" w:color="auto"/>
          </w:divBdr>
        </w:div>
      </w:divsChild>
    </w:div>
    <w:div w:id="19048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joslin@faa.gov" TargetMode="External"/><Relationship Id="rId9" Type="http://schemas.openxmlformats.org/officeDocument/2006/relationships/image" Target="media/image1.jpeg"/><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rgl.faa.gov/Regulatory_and_Guidance_Library/rgNPRM.nsf/2ed8a85bb3dd48e68525644900598dfb/759fc8554d8c6b8b852568b60068edfd%21OpenDocument" TargetMode="External"/><Relationship Id="rId2" Type="http://schemas.openxmlformats.org/officeDocument/2006/relationships/hyperlink" Target="http://rgl.faa.gov/Regulatory_and_Guidance_Library/rgNPRM.nsf/2ed8a85bb3dd48e68525644900598dfb/3007c2783ed1498685256923005a33b0%21OpenDocument" TargetMode="External"/><Relationship Id="rId3" Type="http://schemas.openxmlformats.org/officeDocument/2006/relationships/hyperlink" Target="http://rgl.faa.gov/Regulatory_and_Guidance_Library/rgNPRM.nsf/2ed8a85bb3dd48e68525644900598dfb/f2d74ab90baf8bde85256789006b8a2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2481CAF-84CA-5E4E-9796-F14BA93E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2281</Words>
  <Characters>13005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edward joslin</dc:creator>
  <cp:keywords/>
  <dc:description/>
  <cp:lastModifiedBy>Microsoft Office User</cp:lastModifiedBy>
  <cp:revision>2</cp:revision>
  <dcterms:created xsi:type="dcterms:W3CDTF">2017-06-02T19:34:00Z</dcterms:created>
  <dcterms:modified xsi:type="dcterms:W3CDTF">2017-06-02T19:34:00Z</dcterms:modified>
</cp:coreProperties>
</file>